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5FF6" w14:textId="77777777" w:rsidR="00FD0601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3980554B" wp14:editId="0B54EAE7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D3C21" w14:textId="77777777" w:rsidR="00FD060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4398C3A9" w14:textId="77777777" w:rsidR="00FD060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56970608" w14:textId="77777777" w:rsidR="00FD0601" w:rsidRDefault="00FD0601">
                            <w:pPr>
                              <w:textDirection w:val="btLr"/>
                            </w:pPr>
                          </w:p>
                          <w:p w14:paraId="7ACF405D" w14:textId="77777777" w:rsidR="00FD060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0554B" id="Rectangle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14:paraId="731D3C21" w14:textId="77777777" w:rsidR="00FD0601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4398C3A9" w14:textId="77777777" w:rsidR="00FD0601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56970608" w14:textId="77777777" w:rsidR="00FD0601" w:rsidRDefault="00FD0601">
                      <w:pPr>
                        <w:textDirection w:val="btLr"/>
                      </w:pPr>
                    </w:p>
                    <w:p w14:paraId="7ACF405D" w14:textId="77777777" w:rsidR="00FD0601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121BA3" w14:textId="77777777" w:rsidR="00FD0601" w:rsidRDefault="00FD0601"/>
    <w:p w14:paraId="2ABB09B1" w14:textId="77777777" w:rsidR="00FD0601" w:rsidRDefault="00FD0601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FD0601" w14:paraId="0A69E86C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646F9E18" w14:textId="77777777" w:rsidR="00FD0601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2910F3E9" w14:textId="77777777" w:rsidR="00FD0601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FD0601" w14:paraId="22E9B621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1C06223F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E4A372A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 hab. Agata D</w:t>
            </w:r>
            <w:r w:rsidRPr="00332462">
              <w:rPr>
                <w:rFonts w:ascii="Calibri" w:eastAsia="Calibri" w:hAnsi="Calibri" w:cs="Calibri"/>
                <w:b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bowska </w:t>
            </w:r>
          </w:p>
          <w:p w14:paraId="325C8867" w14:textId="330D35AA" w:rsidR="00FD0601" w:rsidRDefault="00FD0601" w:rsidP="00705117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D0601" w14:paraId="1EFF9F39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7AFCDA3D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514D5696" w14:textId="7F8F2FA0" w:rsidR="00FD0601" w:rsidRDefault="00705117" w:rsidP="00705117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4FA3">
              <w:rPr>
                <w:rFonts w:ascii="Calibri" w:eastAsia="Calibri" w:hAnsi="Calibri" w:cs="Calibri"/>
                <w:bCs/>
                <w:sz w:val="20"/>
                <w:szCs w:val="20"/>
              </w:rPr>
              <w:t>Centrum Badań nad Zachowaniami Społecznymi</w:t>
            </w:r>
          </w:p>
        </w:tc>
      </w:tr>
      <w:tr w:rsidR="00FD0601" w14:paraId="6AD26222" w14:textId="77777777">
        <w:trPr>
          <w:trHeight w:val="340"/>
        </w:trPr>
        <w:tc>
          <w:tcPr>
            <w:tcW w:w="4995" w:type="dxa"/>
          </w:tcPr>
          <w:p w14:paraId="4F8C024E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716A71E8" w14:textId="77777777" w:rsidR="00705117" w:rsidRPr="00060759" w:rsidRDefault="00705117" w:rsidP="0070511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F67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ORCID</w:t>
            </w:r>
            <w:r w:rsidRPr="00060759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060759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orcid.org/0000-0002-3035-3945 </w:t>
            </w:r>
          </w:p>
          <w:p w14:paraId="1BA0C306" w14:textId="77777777" w:rsidR="00705117" w:rsidRPr="00060759" w:rsidRDefault="00705117" w:rsidP="0070511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F67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ResearchGate</w:t>
            </w:r>
            <w:proofErr w:type="spellEnd"/>
            <w:r w:rsidRPr="00060759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hyperlink r:id="rId8" w:history="1">
              <w:r w:rsidRPr="000607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https://www.researchgate.net/profile/Agata-Debowska</w:t>
              </w:r>
            </w:hyperlink>
            <w:r w:rsidRPr="000607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668CD5" w14:textId="77777777" w:rsidR="00705117" w:rsidRPr="00C5474E" w:rsidRDefault="00705117" w:rsidP="00705117">
            <w:pPr>
              <w:pStyle w:val="ListParagraph"/>
              <w:numPr>
                <w:ilvl w:val="0"/>
                <w:numId w:val="1"/>
              </w:numPr>
              <w:ind w:right="170"/>
              <w:rPr>
                <w:rStyle w:val="Hyperlink"/>
                <w:rFonts w:ascii="Calibri" w:eastAsia="Calibri" w:hAnsi="Calibri" w:cs="Calibri"/>
                <w:color w:val="auto"/>
                <w:sz w:val="20"/>
                <w:szCs w:val="20"/>
                <w:u w:val="none"/>
              </w:rPr>
            </w:pPr>
            <w:r w:rsidRPr="00C547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Google scholar: </w:t>
            </w:r>
            <w:hyperlink r:id="rId9" w:history="1">
              <w:r w:rsidRPr="00C5474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https://scholar.google.co.uk/citations?view_op=list_works&amp;hl=en&amp;user=gmMF74oAAAAJ&amp;gmla=AJsN-F5lNaKKmbfa0nmxleEMhm8uNzNPQ2ozsqPIBucq0j7ZUxwQq0fUCLiveEqotyYqUjumzPR9D-n2kj1aRlztkqHJ8RBabZ39b1XPKy6IbRnXEnsyb-x_bwqzHf3fI4tzJVq01jey</w:t>
              </w:r>
            </w:hyperlink>
          </w:p>
          <w:p w14:paraId="56357E13" w14:textId="77777777" w:rsidR="00705117" w:rsidRDefault="00705117" w:rsidP="0070511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F67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Przykładowe publikacje</w:t>
            </w:r>
            <w:r w:rsidRPr="00706B5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328FAB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</w:p>
          <w:p w14:paraId="77BE8695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Hill, E., Moreland, G.,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Boduszek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D., &amp;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Debowska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, A. (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2023</w:t>
            </w: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). Attribution of blame in an intimate partner violence situation: The effect of victim sexuality and observer sex. </w:t>
            </w:r>
            <w:r w:rsidRPr="00A82799"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/>
              </w:rPr>
              <w:t>Journal of Interpersonal Violence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/>
              </w:rPr>
              <w:t>, 38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(13-14), </w:t>
            </w:r>
            <w:r w:rsidRPr="00C5474E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8500-8523. </w:t>
            </w:r>
            <w:hyperlink r:id="rId10" w:history="1">
              <w:r w:rsidRPr="00C5474E">
                <w:rPr>
                  <w:rStyle w:val="Hyperlink"/>
                  <w:rFonts w:ascii="Calibri" w:eastAsia="Calibri" w:hAnsi="Calibri" w:cs="Calibri"/>
                  <w:bCs/>
                  <w:iCs/>
                  <w:sz w:val="20"/>
                  <w:szCs w:val="20"/>
                </w:rPr>
                <w:t>https://doi.org/10.1177/08862605231157444</w:t>
              </w:r>
            </w:hyperlink>
          </w:p>
          <w:p w14:paraId="633DFECF" w14:textId="77777777" w:rsidR="00705117" w:rsidRDefault="00705117" w:rsidP="00705117">
            <w:pPr>
              <w:ind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</w:p>
          <w:p w14:paraId="5C652EA1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Debowska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A., Harding-Brown, L., Cowen, M., Brickell, L.,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Chunara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Covelluzzi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C., Darker, K. O., Hill, E., Saeed, R., &amp;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Vassiliou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A. (2023). A brief internet-based passive psychoeducation intervention to promote healthy relationships among young adults: A pilot randomized </w:t>
            </w:r>
            <w:proofErr w:type="gram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placebo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controlled</w:t>
            </w:r>
            <w:proofErr w:type="gram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 trial. </w:t>
            </w:r>
            <w:r w:rsidRPr="00A82799"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/>
              </w:rPr>
              <w:t>Violence Against Women</w:t>
            </w: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Pr="00602C30">
                <w:rPr>
                  <w:rStyle w:val="Hyperlink"/>
                  <w:rFonts w:ascii="Calibri" w:eastAsia="Calibri" w:hAnsi="Calibri" w:cs="Calibri"/>
                  <w:bCs/>
                  <w:iCs/>
                  <w:sz w:val="20"/>
                  <w:szCs w:val="20"/>
                  <w:lang w:val="en-US"/>
                </w:rPr>
                <w:t>https://doi.org/10.1177/10778012231156158</w:t>
              </w:r>
            </w:hyperlink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30BAB1C1" w14:textId="77777777" w:rsidR="00705117" w:rsidRDefault="00705117" w:rsidP="00705117">
            <w:pPr>
              <w:ind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</w:p>
          <w:p w14:paraId="0541F5BC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Hall, M., Hill, E., Moreland, G., Hales, G.,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Boduszek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D., &amp; </w:t>
            </w:r>
            <w:proofErr w:type="spellStart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Debowska</w:t>
            </w:r>
            <w:proofErr w:type="spellEnd"/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A. (2022). Profiles of intimate partner violence (IPV) victimization: A systematic review. </w:t>
            </w:r>
            <w:r w:rsidRPr="00C5474E"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/>
              </w:rPr>
              <w:t>Trauma, Violence, &amp; Abuse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C5474E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24</w:t>
            </w:r>
            <w:r w:rsidRPr="00C5474E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(5), 3280-3296</w:t>
            </w:r>
            <w:r w:rsidRPr="00C5474E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.</w:t>
            </w:r>
            <w:r w:rsidRPr="00A8279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  </w:t>
            </w:r>
            <w:hyperlink r:id="rId12" w:history="1">
              <w:r w:rsidRPr="00602C30">
                <w:rPr>
                  <w:rStyle w:val="Hyperlink"/>
                  <w:rFonts w:ascii="Calibri" w:eastAsia="Calibri" w:hAnsi="Calibri" w:cs="Calibri"/>
                  <w:bCs/>
                  <w:iCs/>
                  <w:sz w:val="20"/>
                  <w:szCs w:val="20"/>
                  <w:lang w:val="en-US"/>
                </w:rPr>
                <w:t>https://doi.org/10.1177/15248380221126183</w:t>
              </w:r>
            </w:hyperlink>
          </w:p>
          <w:p w14:paraId="4E7CDEC0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  <w:p w14:paraId="277A4118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proofErr w:type="spellStart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Debowska</w:t>
            </w:r>
            <w:proofErr w:type="spellEnd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Horeczy</w:t>
            </w:r>
            <w:proofErr w:type="spellEnd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, B.,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Boduszek</w:t>
            </w:r>
            <w:proofErr w:type="spellEnd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, D., &amp; </w:t>
            </w:r>
            <w:proofErr w:type="spellStart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Dolinski</w:t>
            </w:r>
            <w:proofErr w:type="spellEnd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, D. (202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2</w:t>
            </w:r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). A repeated cross-sectional survey assessing university students’ stress, depression, anxiety, and suicidality in the early stages of the COVID-19 pandemic in Poland. </w:t>
            </w:r>
            <w:r w:rsidRPr="00706B57">
              <w:rPr>
                <w:rFonts w:ascii="Calibri" w:eastAsia="Calibri" w:hAnsi="Calibri" w:cs="Calibri"/>
                <w:bCs/>
                <w:i/>
                <w:sz w:val="20"/>
                <w:szCs w:val="20"/>
                <w:lang w:val="en-GB"/>
              </w:rPr>
              <w:t>Psychological Medicine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  <w:lang w:val="en-GB"/>
              </w:rPr>
              <w:t>, 52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GB"/>
              </w:rPr>
              <w:t>(15), 3744-3747</w:t>
            </w:r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. </w:t>
            </w:r>
          </w:p>
          <w:p w14:paraId="18200B4A" w14:textId="77777777" w:rsidR="00705117" w:rsidRPr="00A82799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hyperlink r:id="rId13" w:history="1">
              <w:r w:rsidRPr="002A5134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  <w:lang w:val="en-GB"/>
                </w:rPr>
                <w:t>http://dx.doi.org/10.1017/S003329172000392X</w:t>
              </w:r>
            </w:hyperlink>
          </w:p>
          <w:p w14:paraId="205DD9FF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</w:pPr>
          </w:p>
          <w:p w14:paraId="4B80C362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Boduszek</w:t>
            </w:r>
            <w:proofErr w:type="spellEnd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Debowska</w:t>
            </w:r>
            <w:proofErr w:type="spellEnd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Ochen</w:t>
            </w:r>
            <w:proofErr w:type="spellEnd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, E. A., Fray, C.,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Nanfuka</w:t>
            </w:r>
            <w:proofErr w:type="spellEnd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 xml:space="preserve"> Kalule, E., Powell-Booth, K., </w:t>
            </w:r>
            <w:proofErr w:type="spellStart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Turyomurugyendo</w:t>
            </w:r>
            <w:proofErr w:type="spellEnd"/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, F., Nelson, K., Harvey, R., Willmott, D., &amp; Mason, S. J. (2021). Prevalence and correlates of non-suicidal self-injury, suicidal ideation, and suicide attempt among children and adolescents: Findings from Uganda and Jamaica. </w:t>
            </w:r>
            <w:r w:rsidRPr="00706B57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n-US"/>
              </w:rPr>
              <w:t>Journal of Affective Disorders, 283</w:t>
            </w:r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/>
              </w:rPr>
              <w:t>172-178</w:t>
            </w:r>
            <w:r w:rsidRPr="00706B57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GB"/>
              </w:rPr>
              <w:t xml:space="preserve">. </w:t>
            </w:r>
            <w:hyperlink r:id="rId14" w:history="1">
              <w:r w:rsidRPr="002A5134">
                <w:rPr>
                  <w:rStyle w:val="Hyperlink"/>
                  <w:rFonts w:ascii="Calibri" w:eastAsia="Calibri" w:hAnsi="Calibri" w:cs="Calibri"/>
                  <w:bCs/>
                  <w:iCs/>
                  <w:sz w:val="20"/>
                  <w:szCs w:val="20"/>
                  <w:lang w:val="en-GB"/>
                </w:rPr>
                <w:t>https://doi.org/10.1016/j.jad.2021.01.063</w:t>
              </w:r>
            </w:hyperlink>
          </w:p>
          <w:p w14:paraId="25D465D6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GB"/>
              </w:rPr>
            </w:pPr>
          </w:p>
          <w:p w14:paraId="60539769" w14:textId="77777777" w:rsidR="00705117" w:rsidRDefault="00705117" w:rsidP="00705117">
            <w:pPr>
              <w:ind w:left="160" w:right="170"/>
              <w:rPr>
                <w:rStyle w:val="Hyperlink"/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Debowska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Boduszek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D., Jones, A. D., Willmott, D., &amp; </w:t>
            </w: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Sherretts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N. (2021). Gender-based violence-supportive cognitions in adolescent girls and boys: The function of violence exposure and victimisation. </w:t>
            </w:r>
            <w:r w:rsidRPr="00706B57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Journal of Interpersonal Violence, 36</w:t>
            </w:r>
            <w:r w:rsidRPr="00706B57">
              <w:rPr>
                <w:rFonts w:ascii="Calibri" w:eastAsia="Calibri" w:hAnsi="Calibri" w:cs="Calibri"/>
                <w:iCs/>
                <w:sz w:val="20"/>
                <w:szCs w:val="20"/>
                <w:lang w:val="en-GB"/>
              </w:rPr>
              <w:t>(3-4), 1233-1255</w:t>
            </w:r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hyperlink r:id="rId15" w:history="1">
              <w:r w:rsidRPr="002A513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GB"/>
                </w:rPr>
                <w:t>https://doi.org/10.1177/0886260517741628</w:t>
              </w:r>
            </w:hyperlink>
          </w:p>
          <w:p w14:paraId="33A41E82" w14:textId="77777777" w:rsidR="00705117" w:rsidRDefault="00705117" w:rsidP="00705117">
            <w:pPr>
              <w:ind w:left="160" w:right="170"/>
              <w:rPr>
                <w:rStyle w:val="Hyperlink"/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14:paraId="2D631FE4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Boduszek</w:t>
            </w:r>
            <w:proofErr w:type="spellEnd"/>
            <w:r w:rsidRPr="00706B5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, D., </w:t>
            </w: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Debowska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A., Jones, A. D., Ma, M., Smith, D., Willmott, D., Trotman </w:t>
            </w: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Jemmott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E., Da </w:t>
            </w:r>
            <w:proofErr w:type="spellStart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Breo</w:t>
            </w:r>
            <w:proofErr w:type="spellEnd"/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 H., &amp; Kirkman, G. (2019). Prosocial video game as an intimate partner violence prevention tool among youth: A randomised controlled trial. </w:t>
            </w:r>
            <w:r w:rsidRPr="00706B57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Computers in Human </w:t>
            </w:r>
            <w:proofErr w:type="spellStart"/>
            <w:r w:rsidRPr="00706B57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Behavior</w:t>
            </w:r>
            <w:proofErr w:type="spellEnd"/>
            <w:r w:rsidRPr="00706B57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, 93</w:t>
            </w:r>
            <w:r w:rsidRPr="00706B57">
              <w:rPr>
                <w:rFonts w:ascii="Calibri" w:eastAsia="Calibri" w:hAnsi="Calibri" w:cs="Calibri"/>
                <w:iCs/>
                <w:sz w:val="20"/>
                <w:szCs w:val="20"/>
                <w:lang w:val="en-GB"/>
              </w:rPr>
              <w:t>, 260-266.</w:t>
            </w:r>
            <w:r w:rsidRPr="00706B5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 </w:t>
            </w:r>
            <w:hyperlink r:id="rId16" w:history="1">
              <w:r w:rsidRPr="002A5134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GB"/>
                </w:rPr>
                <w:t>https://doi.org/10.1016/j.chb.2018.12.028</w:t>
              </w:r>
            </w:hyperlink>
          </w:p>
          <w:p w14:paraId="4ECB310A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14:paraId="5696B913" w14:textId="25298194" w:rsidR="00705117" w:rsidRPr="00705117" w:rsidRDefault="00705117" w:rsidP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Debowska</w:t>
            </w:r>
            <w:proofErr w:type="spellEnd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Boduszek</w:t>
            </w:r>
            <w:proofErr w:type="spellEnd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D., </w:t>
            </w:r>
            <w:proofErr w:type="spellStart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Sherretts</w:t>
            </w:r>
            <w:proofErr w:type="spellEnd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N., Willmott, D., &amp; Jones, A. D. (2018). Profiles and </w:t>
            </w:r>
            <w:proofErr w:type="spellStart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behavioral</w:t>
            </w:r>
            <w:proofErr w:type="spellEnd"/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consequences of child abuse among adolescent girls and boys from Barbados and Grenada. </w:t>
            </w:r>
            <w:r w:rsidRPr="00F4714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>Child Abuse &amp; Neglect, 79</w:t>
            </w:r>
            <w:r w:rsidRPr="00F4714F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245-258. </w:t>
            </w:r>
            <w:hyperlink r:id="rId17" w:history="1">
              <w:r w:rsidRPr="002A513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  <w:lang w:val="en-GB"/>
                </w:rPr>
                <w:t>https://doi.org/10.1016/j.chiabu.2018.02.018</w:t>
              </w:r>
            </w:hyperlink>
            <w:r>
              <w:rPr>
                <w:rFonts w:ascii="Calibri" w:eastAsia="Calibri" w:hAnsi="Calibri" w:cs="Calibri"/>
                <w:iCs/>
                <w:sz w:val="20"/>
                <w:szCs w:val="20"/>
                <w:lang w:val="en-GB"/>
              </w:rPr>
              <w:t xml:space="preserve"> </w:t>
            </w:r>
          </w:p>
          <w:p w14:paraId="494157CE" w14:textId="77777777" w:rsidR="00FD0601" w:rsidRDefault="00FD060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0601" w14:paraId="4DCA5CFC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240BAC90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801145E" w14:textId="77777777" w:rsidR="00705117" w:rsidRDefault="00705117" w:rsidP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Psychologia </w:t>
            </w:r>
          </w:p>
          <w:p w14:paraId="6EE7CDAD" w14:textId="6C7722E7" w:rsidR="00FD0601" w:rsidRDefault="00705117" w:rsidP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24FA3">
              <w:rPr>
                <w:rFonts w:ascii="Calibri" w:eastAsia="Calibri" w:hAnsi="Calibri" w:cs="Calibri"/>
                <w:bCs/>
                <w:sz w:val="20"/>
                <w:szCs w:val="20"/>
              </w:rPr>
              <w:t>(Centrum Badań nad Zachowaniami Społecznymi)</w:t>
            </w:r>
          </w:p>
        </w:tc>
      </w:tr>
      <w:tr w:rsidR="00FD0601" w14:paraId="010D4D1B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675E0231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C86F90E" w14:textId="3A222620" w:rsidR="00FD0601" w:rsidRDefault="0070511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Moje zainteresowania badawcze skupiają się na tematyce przemocy wobec dzieci, przemocy wobec kobiet (w tym przemocy w relacjach intymnych) oraz zapobieganiu przemocy (głównie przemocy w związkach wśród adolescentów i młodych dorosłych). Obecnie pracuję nad badaniami w tematyce przemocy psychicznej w relacjach intymnych młodych dorosłych oraz obwiniania ofiar takiej przemocy (ang. </w:t>
            </w:r>
            <w:proofErr w:type="spellStart"/>
            <w:r w:rsidRPr="004650B0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victim</w:t>
            </w:r>
            <w:proofErr w:type="spellEnd"/>
            <w:r w:rsidRPr="004650B0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50B0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blaming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).  </w:t>
            </w:r>
          </w:p>
        </w:tc>
      </w:tr>
      <w:tr w:rsidR="00FD0601" w14:paraId="7C404E40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7653AF11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3700A1B" w14:textId="17D133E0" w:rsidR="00FD0601" w:rsidRDefault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Wszystkie projekty związane z badaniem przyczyn, skutków i zapobieganiem przemocy interpersonalnej. Jestem szczególnie zainteresowana prowadzeniem doktorantów w języku angielskim.</w:t>
            </w:r>
          </w:p>
        </w:tc>
      </w:tr>
      <w:tr w:rsidR="00FD0601" w14:paraId="0A126A93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4A06E00A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CDC3F7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E39685" w14:textId="07CC91ED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05117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FD0601" w14:paraId="61D56A8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7F8F3F59" w14:textId="77777777" w:rsidR="00FD0601" w:rsidRDefault="00FD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57E3125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5301D00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D0601" w14:paraId="7365283B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5365B675" w14:textId="77777777" w:rsidR="00FD0601" w:rsidRDefault="00FD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0157D6D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37966AF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D0601" w14:paraId="7A4A399B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0AC5530D" w14:textId="77777777" w:rsidR="00FD0601" w:rsidRDefault="00FD0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4F0FD7B0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DD25D18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D0601" w14:paraId="49EF97DA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0C90F1FD" w14:textId="77777777" w:rsidR="00FD0601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2FA021FF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2D44F81F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D0601" w14:paraId="05428A9E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07A150D4" w14:textId="77777777" w:rsidR="00FD0601" w:rsidRDefault="00FD0601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52A68532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5950A122" w14:textId="77777777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FD0601" w14:paraId="36E1B5C1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64CC8D23" w14:textId="77777777" w:rsidR="00FD0601" w:rsidRDefault="00FD0601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164F6B55" w14:textId="77777777" w:rsidR="00FD0601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7FD559C4" w14:textId="1284882E" w:rsidR="00FD0601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0511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D0601" w14:paraId="39C9E486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0C068934" w14:textId="77777777" w:rsidR="00FD0601" w:rsidRDefault="00FD0601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71CA4C6E" w14:textId="77777777" w:rsidR="00FD0601" w:rsidRDefault="00FD0601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78E30F2B" w14:textId="77777777" w:rsidR="00FD0601" w:rsidRDefault="00FD0601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0601" w14:paraId="10E1B4CE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1150C4EB" w14:textId="77777777" w:rsidR="00FD0601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29F35D9" w14:textId="1E625927" w:rsidR="00FD0601" w:rsidRDefault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FD0601" w14:paraId="3C281324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3DE1F6B0" w14:textId="77777777" w:rsidR="00FD0601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0C18C17" w14:textId="4148CE83" w:rsidR="00FD0601" w:rsidRDefault="00705117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doktorantka na University of Sheffield (Wielka Brytania)</w:t>
            </w:r>
          </w:p>
        </w:tc>
      </w:tr>
      <w:tr w:rsidR="00FD0601" w14:paraId="3CCF0B9A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68731C2D" w14:textId="77777777" w:rsidR="00FD0601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230CCADB" w14:textId="77777777" w:rsidR="00FD0601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FD0601" w14:paraId="4C9AA9CD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6DFCD6D4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5D400BC1" w14:textId="77777777" w:rsidR="00705117" w:rsidRDefault="00705117" w:rsidP="0070511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36644">
              <w:rPr>
                <w:rFonts w:ascii="Calibri" w:eastAsia="Calibri" w:hAnsi="Calibri" w:cs="Calibri"/>
                <w:sz w:val="20"/>
                <w:szCs w:val="20"/>
              </w:rPr>
              <w:t>Zainteresowania w dziedzinie psychologii przemocy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D0FCAF1" w14:textId="77777777" w:rsidR="00705117" w:rsidRDefault="00705117" w:rsidP="0070511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Doświadczenie w zakresie prowadzania własnego badania empirycznego i pisania raportu z badania (np. w postaci pracy magisterskiej);</w:t>
            </w:r>
          </w:p>
          <w:p w14:paraId="61E98BF7" w14:textId="77777777" w:rsidR="00705117" w:rsidRDefault="00705117" w:rsidP="0070511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Bardzo dobra znajomość języka angielskiego;</w:t>
            </w:r>
          </w:p>
          <w:p w14:paraId="57AB6BDB" w14:textId="77777777" w:rsidR="00705117" w:rsidRDefault="00705117" w:rsidP="0070511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Umiejętność wykonywania analiz statystycznych w programie SPSS;  </w:t>
            </w:r>
          </w:p>
          <w:p w14:paraId="17CA7296" w14:textId="21F5729B" w:rsidR="00FD0601" w:rsidRPr="00705117" w:rsidRDefault="00705117" w:rsidP="00705117">
            <w:pPr>
              <w:pStyle w:val="ListParagraph"/>
              <w:numPr>
                <w:ilvl w:val="0"/>
                <w:numId w:val="2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05117">
              <w:rPr>
                <w:rFonts w:ascii="Calibri" w:eastAsia="Calibri" w:hAnsi="Calibri" w:cs="Calibri"/>
                <w:sz w:val="20"/>
                <w:szCs w:val="20"/>
              </w:rPr>
              <w:t xml:space="preserve">Chęć nauki innych programów statystycznych do wykonywania analiz zaawansowanych (np. </w:t>
            </w:r>
            <w:proofErr w:type="spellStart"/>
            <w:r w:rsidRPr="00705117">
              <w:rPr>
                <w:rFonts w:ascii="Calibri" w:eastAsia="Calibri" w:hAnsi="Calibri" w:cs="Calibri"/>
                <w:sz w:val="20"/>
                <w:szCs w:val="20"/>
              </w:rPr>
              <w:t>Mplus</w:t>
            </w:r>
            <w:proofErr w:type="spellEnd"/>
            <w:r w:rsidRPr="00705117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FD0601" w14:paraId="4388043A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6470F7FC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CE66892" w14:textId="06FA5D1C" w:rsidR="00FD0601" w:rsidRDefault="00705117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v</w:t>
            </w:r>
            <w:r w:rsidR="0000000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hyperlink r:id="rId18" w:history="1">
              <w:r w:rsidRPr="00751873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adebowska@swps.edu.pl</w:t>
              </w:r>
            </w:hyperlink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0E4683B5" w14:textId="77777777" w:rsidR="00FD0601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423761FD" w14:textId="77777777" w:rsidR="00FD0601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61B6F954" w14:textId="77777777" w:rsidR="00FD0601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FD0601" w14:paraId="7B48C704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5416F073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0F133B48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FD5E1EA" w14:textId="08984C30" w:rsidR="00FD0601" w:rsidRDefault="0070511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Brak preferencji w tym zakresie </w:t>
            </w:r>
          </w:p>
        </w:tc>
      </w:tr>
      <w:tr w:rsidR="00FD0601" w14:paraId="4FE0A8F3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3207CBC8" w14:textId="77777777" w:rsidR="00FD0601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0217DB6" w14:textId="77777777" w:rsidR="00FD0601" w:rsidRDefault="00FD0601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BE599A" w14:textId="77777777" w:rsidR="00FD0601" w:rsidRDefault="00FD0601">
      <w:pPr>
        <w:jc w:val="both"/>
      </w:pPr>
    </w:p>
    <w:sectPr w:rsidR="00FD0601">
      <w:footerReference w:type="default" r:id="rId19"/>
      <w:headerReference w:type="first" r:id="rId20"/>
      <w:footerReference w:type="first" r:id="rId21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4BD" w14:textId="77777777" w:rsidR="00B135E1" w:rsidRDefault="00B135E1">
      <w:r>
        <w:separator/>
      </w:r>
    </w:p>
  </w:endnote>
  <w:endnote w:type="continuationSeparator" w:id="0">
    <w:p w14:paraId="5EB75E5C" w14:textId="77777777" w:rsidR="00B135E1" w:rsidRDefault="00B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9CA6" w14:textId="52B3EFE8" w:rsidR="00FD0601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05117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23FC" w14:textId="77777777" w:rsidR="00FD0601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0511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3E82" w14:textId="77777777" w:rsidR="00B135E1" w:rsidRDefault="00B135E1">
      <w:r>
        <w:separator/>
      </w:r>
    </w:p>
  </w:footnote>
  <w:footnote w:type="continuationSeparator" w:id="0">
    <w:p w14:paraId="2640C683" w14:textId="77777777" w:rsidR="00B135E1" w:rsidRDefault="00B1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5A5" w14:textId="77777777" w:rsidR="00FD0601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2C49AB80" wp14:editId="21451AAE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AAC"/>
    <w:multiLevelType w:val="hybridMultilevel"/>
    <w:tmpl w:val="DF6A9EE6"/>
    <w:lvl w:ilvl="0" w:tplc="CF50CC5E"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5C75454F"/>
    <w:multiLevelType w:val="hybridMultilevel"/>
    <w:tmpl w:val="9A40FB7A"/>
    <w:lvl w:ilvl="0" w:tplc="4E8E242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num w:numId="1" w16cid:durableId="2096901738">
    <w:abstractNumId w:val="0"/>
  </w:num>
  <w:num w:numId="2" w16cid:durableId="56846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01"/>
    <w:rsid w:val="00705117"/>
    <w:rsid w:val="00B135E1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E8011"/>
  <w15:docId w15:val="{D6CDAFE4-013B-394F-8DD7-0213E8FA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gata-Debowska" TargetMode="External"/><Relationship Id="rId13" Type="http://schemas.openxmlformats.org/officeDocument/2006/relationships/hyperlink" Target="http://dx.doi.org/10.1017/S003329172000392X" TargetMode="External"/><Relationship Id="rId18" Type="http://schemas.openxmlformats.org/officeDocument/2006/relationships/hyperlink" Target="mailto:adebowska@swps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5248380221126183" TargetMode="External"/><Relationship Id="rId17" Type="http://schemas.openxmlformats.org/officeDocument/2006/relationships/hyperlink" Target="https://doi.org/10.1016/j.chiabu.2018.02.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hb.2018.12.02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778012231156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8862605177416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77/0886260523115744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uk/citations?view_op=list_works&amp;hl=en&amp;user=gmMF74oAAAAJ&amp;gmla=AJsN-F5lNaKKmbfa0nmxleEMhm8uNzNPQ2ozsqPIBucq0j7ZUxwQq0fUCLiveEqotyYqUjumzPR9D-n2kj1aRlztkqHJ8RBabZ39b1XPKy6IbRnXEnsyb-x_bwqzHf3fI4tzJVq01jey" TargetMode="External"/><Relationship Id="rId14" Type="http://schemas.openxmlformats.org/officeDocument/2006/relationships/hyperlink" Target="https://doi.org/10.1016/j.jad.2021.01.06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Agata Debowska</cp:lastModifiedBy>
  <cp:revision>2</cp:revision>
  <dcterms:created xsi:type="dcterms:W3CDTF">2024-02-09T13:42:00Z</dcterms:created>
  <dcterms:modified xsi:type="dcterms:W3CDTF">2024-02-26T12:48:00Z</dcterms:modified>
</cp:coreProperties>
</file>