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0"/>
          <w:szCs w:val="20"/>
        </w:rPr>
      </w:pPr>
      <w:r w:rsidDel="00000000" w:rsidR="00000000" w:rsidRPr="00000000">
        <w:rPr>
          <w:b w:val="1"/>
          <w:bCs w:val="1"/>
          <w:sz w:val="28"/>
          <w:szCs w:val="28"/>
          <w:rtl w:val="0"/>
        </w:rPr>
        <w:t xml:space="preserve">Młodzi, zdolni, niedoceniani? Anatomia </w:t>
      </w:r>
      <w:r w:rsidDel="00000000" w:rsidR="00000000" w:rsidRPr="00000000">
        <w:rPr>
          <w:b w:val="1"/>
          <w:bCs w:val="1"/>
          <w:sz w:val="28"/>
          <w:szCs w:val="28"/>
          <w:rtl w:val="0"/>
        </w:rPr>
        <w:t xml:space="preserve">youngismu</w:t>
      </w:r>
      <w:r w:rsidDel="00000000" w:rsidR="00000000" w:rsidRPr="00000000">
        <w:rPr>
          <w:rtl w:val="0"/>
        </w:rPr>
      </w:r>
    </w:p>
    <w:p w:rsidR="00000000" w:rsidDel="00000000" w:rsidP="00000000" w:rsidRDefault="00000000" w:rsidRPr="00000000" w14:paraId="00000002">
      <w:pPr>
        <w:spacing w:after="240" w:befor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Kiedy myślimy o dyskryminacji ze względu na wiek w miejscu pracy, zazwyczaj mamy przed oczami starszego pracownika, któremu odmawia się awansu lub który na rozmowie kwalifikacyjnej słyszy, że „firma szuka kogoś z większą dynamiką”. To ageism, zjawisko dobrze udokumentowane, obecne w debacie publicznej i stopniowo zyskujące należną mu uwagę. Rzadziej mówimy jednak o jego odbiciu w lustrze: o youngismie, czyli uprzedzeniach kierowanych w drugą stronę – wobec osób młodych. Obie formy dyskryminacji są obecne w polskich biurach i obie, jak pokazują badania, szkodzą zarówno jednostkom, jak i całym organizacjom.</w:t>
      </w:r>
    </w:p>
    <w:p w:rsidR="00000000" w:rsidDel="00000000" w:rsidP="00000000" w:rsidRDefault="00000000" w:rsidRPr="00000000" w14:paraId="00000003">
      <w:pPr>
        <w:spacing w:after="240" w:before="240" w:line="300" w:lineRule="auto"/>
        <w:jc w:val="both"/>
        <w:rPr/>
      </w:pPr>
      <w:r w:rsidDel="00000000" w:rsidR="00000000" w:rsidRPr="00000000">
        <w:rPr>
          <w:sz w:val="20"/>
          <w:szCs w:val="20"/>
          <w:rtl w:val="0"/>
        </w:rPr>
        <w:t xml:space="preserve">Pojęcie youngismu (inaczej youthism lub adultyzm) zostało wprowadzone do literatury naukowej stosunkowo niedawno. W badaniu przeprowadzonym w 2021 roku przez Stéphane’a Francioliego i Michaela S. Northa z New York University naukowcy wykazali, że uprzedzenia wiekowe nie są domeną wyłącznie dojrzałego wieku. W serii ośmiu eksperymentów z udziałem ponad 2300 osób udowodnili, że dzisiejsze młode pokolenie jest postrzegane przez pryzmat mieszanego stereotypu. Uważa się je za pełne energii i pomysłów, ale jednocześnie za nieodpowiedzialne, leniwe, roszczeniowe i niezdolne do lojalności. Co ciekawe, ten negatywny osąd dotyczył współczesnych młodych dorosłych jako pokolenia, a nie młodości w ogóle. Badani oceniali dzisiejszych dwudziestolatków surowiej niż wspominali siebie w tym samym wieku (Francioli &amp; North, 2021).</w:t>
      </w:r>
      <w:r w:rsidDel="00000000" w:rsidR="00000000" w:rsidRPr="00000000">
        <w:rPr>
          <w:rtl w:val="0"/>
        </w:rPr>
      </w:r>
    </w:p>
    <w:p w:rsidR="00000000" w:rsidDel="00000000" w:rsidP="00000000" w:rsidRDefault="00000000" w:rsidRPr="00000000" w14:paraId="00000004">
      <w:pPr>
        <w:spacing w:after="240" w:before="240" w:line="300" w:lineRule="auto"/>
        <w:jc w:val="both"/>
        <w:rPr>
          <w:sz w:val="20"/>
          <w:szCs w:val="20"/>
        </w:rPr>
      </w:pPr>
      <w:r w:rsidDel="00000000" w:rsidR="00000000" w:rsidRPr="00000000">
        <w:rPr>
          <w:sz w:val="20"/>
          <w:szCs w:val="20"/>
          <w:rtl w:val="0"/>
        </w:rPr>
        <w:t xml:space="preserve">– Na stereotypy dotyczące osób młodszych nakłada się często fakt, że kompetencyjnie przewyższają one osoby starsze z większym doświadczeniem. Jeszcze kilkadziesiąt lat temu układ był czytelny: wiek szedł w parze z pozycją, doświadczenie z autorytetem, a hierarchia organizacyjna w dużej mierze odzwierciedlała hierarchię biologiczną. Dziś szef bywa młodszy od podwładnego o dekadę lub dwie, i jest to sytuacja coraz częstsza, szczególnie w branżach technologicznych, startupach i w sektorze kreatywnym. Z punktu widzenia psychologii społecznej to wyzwanie dla obu stron – wyjaśnia dr Katarzyna Myślińska-Szarek, psycholożka i socjolożka z Wydziału Psychologii w Sopocie Uniwersytetu SWPS.</w:t>
      </w:r>
    </w:p>
    <w:p w:rsidR="00000000" w:rsidDel="00000000" w:rsidP="00000000" w:rsidRDefault="00000000" w:rsidRPr="00000000" w14:paraId="00000005">
      <w:pPr>
        <w:spacing w:after="240" w:before="240" w:line="300" w:lineRule="auto"/>
        <w:jc w:val="both"/>
        <w:rPr>
          <w:b w:val="1"/>
          <w:bCs w:val="1"/>
          <w:sz w:val="20"/>
          <w:szCs w:val="20"/>
        </w:rPr>
      </w:pPr>
      <w:r w:rsidDel="00000000" w:rsidR="00000000" w:rsidRPr="00000000">
        <w:rPr>
          <w:b w:val="1"/>
          <w:bCs w:val="1"/>
          <w:sz w:val="20"/>
          <w:szCs w:val="20"/>
          <w:rtl w:val="0"/>
        </w:rPr>
        <w:t xml:space="preserve">Dostrzec i docenić różnice</w:t>
      </w:r>
    </w:p>
    <w:p w:rsidR="00000000" w:rsidDel="00000000" w:rsidP="00000000" w:rsidRDefault="00000000" w:rsidRPr="00000000" w14:paraId="00000006">
      <w:pPr>
        <w:spacing w:after="240" w:before="240" w:line="300" w:lineRule="auto"/>
        <w:jc w:val="both"/>
        <w:rPr>
          <w:sz w:val="20"/>
          <w:szCs w:val="20"/>
        </w:rPr>
      </w:pPr>
      <w:r w:rsidDel="00000000" w:rsidR="00000000" w:rsidRPr="00000000">
        <w:rPr>
          <w:sz w:val="20"/>
          <w:szCs w:val="20"/>
          <w:rtl w:val="0"/>
        </w:rPr>
        <w:t xml:space="preserve">Starszy pracownik musi skonfrontować się z dylematem, który psychologowie nazywają zagrożeniem tożsamości: jego wewnętrzny model kompetencji, oparty na doświadczeniu i stażu pracy, nagle traci walutę w oczach środowiska. Z kolei młody lider mierzy się z brakiem naturalnego autorytetu, musi go budować od zera, często w obliczu biernego oporu lub otwartej nieufności ze strony bardziej doświadczonych członków zespołu. Badania Megan Gerhardt z Miami University, autorki koncepcji Gentelligence i ekspertki od zarządzania pokoleniami w miejscu pracy, wskazują, że kluczem do rozwiązania tego napięcia nie jest udawanie, że różnica wieku nie istnieje, lecz aktywne przekształcanie jej w zasób, poprzez tworzenie przestrzeni do wzajemnego uczenia się i wyraźne docenienie odmiennych form wiedzy (Gerhardt, M. i in., 2022).</w:t>
      </w:r>
    </w:p>
    <w:p w:rsidR="00000000" w:rsidDel="00000000" w:rsidP="00000000" w:rsidRDefault="00000000" w:rsidRPr="00000000" w14:paraId="00000007">
      <w:pPr>
        <w:spacing w:after="240" w:before="240" w:line="300" w:lineRule="auto"/>
        <w:jc w:val="both"/>
        <w:rPr>
          <w:sz w:val="20"/>
          <w:szCs w:val="20"/>
        </w:rPr>
      </w:pPr>
      <w:r w:rsidDel="00000000" w:rsidR="00000000" w:rsidRPr="00000000">
        <w:rPr>
          <w:sz w:val="20"/>
          <w:szCs w:val="20"/>
          <w:rtl w:val="0"/>
        </w:rPr>
        <w:t xml:space="preserve">Źródła stereotypów ze względu na wiek są często trudne do identyfikacji. Odpowiedź, której oczekuje wiele osób, że winni są po prostu nieżyczliwi ludzie, jest zbyt prosta. Badania wskazują, że większość uprzedzeń wiekowych ma charakter nieuświadomiony. Polski Instytut Ekonomiczny w raporcie „Dyskryminacja ze względu na wiek na polskim rynku pracy” (Baszczak i in., 2021) przeprowadził eksperyment, w którym na te same ogłoszenia o pracę wysyłano CV kandydatów w różnym wieku. Wyniki były jednoznaczne: w Warszawie doświadczeni kandydaci w wieku 28 lat byli zapraszani na rozmowy kwalifikacyjne czterokrotnie częściej niż równie wykwalifikowani kandydaci w wieku 52 lat. Co ważne, autorzy badania podkreślają, że źródłem tej dyskryminacji nie była złośliwość rekruterów, lecz nieświadomie podzielane stereotypy, automatyczne skojarzenia między wiekiem a produktywnością, elastycznością czy gotowością do nauki.</w:t>
      </w:r>
    </w:p>
    <w:p w:rsidR="00000000" w:rsidDel="00000000" w:rsidP="00000000" w:rsidRDefault="00000000" w:rsidRPr="00000000" w14:paraId="00000008">
      <w:pPr>
        <w:spacing w:after="240" w:before="240" w:line="300" w:lineRule="auto"/>
        <w:jc w:val="both"/>
        <w:rPr>
          <w:sz w:val="20"/>
          <w:szCs w:val="20"/>
        </w:rPr>
      </w:pPr>
      <w:r w:rsidDel="00000000" w:rsidR="00000000" w:rsidRPr="00000000">
        <w:rPr>
          <w:sz w:val="20"/>
          <w:szCs w:val="20"/>
          <w:rtl w:val="0"/>
        </w:rPr>
        <w:t xml:space="preserve">Symetryczny mechanizm działa jednak także w drugą stronę. Dr Myślińska-Szarek przywołuje badanie ekonomistów Vojtěcha </w:t>
      </w:r>
      <w:r w:rsidDel="00000000" w:rsidR="00000000" w:rsidRPr="00000000">
        <w:rPr>
          <w:sz w:val="20"/>
          <w:szCs w:val="20"/>
          <w:rtl w:val="0"/>
        </w:rPr>
        <w:t xml:space="preserve">Bartoša, Michala Bauera, Jany Cahlíkovej i Julii Chytílovej</w:t>
      </w:r>
      <w:r w:rsidDel="00000000" w:rsidR="00000000" w:rsidRPr="00000000">
        <w:rPr>
          <w:sz w:val="20"/>
          <w:szCs w:val="20"/>
          <w:rtl w:val="0"/>
        </w:rPr>
        <w:t xml:space="preserve"> (IZA Discussion Paper, 2024), przeprowadzone na reprezentatywnych próbach z USA i Czech. Okazało się, że uczestnicy w obu krajach zachowują się wyraźnie mniej prospołecznie wobec młodych dorosłych niż wobec pozostałych grup wiekowych. Skala tego efektu okazała się porównywalna z dyskryminacją wobec imigrantów </w:t>
      </w:r>
      <w:r w:rsidDel="00000000" w:rsidR="00000000" w:rsidRPr="00000000">
        <w:rPr>
          <w:sz w:val="20"/>
          <w:szCs w:val="20"/>
          <w:rtl w:val="0"/>
        </w:rPr>
        <w:t xml:space="preserve">i rosła wraz z wiekiem badanych</w:t>
      </w:r>
      <w:r w:rsidDel="00000000" w:rsidR="00000000" w:rsidRPr="00000000">
        <w:rPr>
          <w:sz w:val="20"/>
          <w:szCs w:val="20"/>
          <w:rtl w:val="0"/>
        </w:rPr>
        <w:t xml:space="preserve">. Młodzi postrzegani byli jako bardziej niemoralni, mniej pomocni, mniej odpowiedzialni i mniej pracowici niż inne grupy wiekowe, a te negatywne stereotypy przekładały się bezpośrednio na gorsze traktowanie ich w sytuacjach wymagających wzajemności i zaufania.</w:t>
      </w:r>
    </w:p>
    <w:p w:rsidR="00000000" w:rsidDel="00000000" w:rsidP="00000000" w:rsidRDefault="00000000" w:rsidRPr="00000000" w14:paraId="00000009">
      <w:pPr>
        <w:spacing w:after="240" w:before="240" w:line="300" w:lineRule="auto"/>
        <w:jc w:val="both"/>
        <w:rPr>
          <w:b w:val="1"/>
          <w:bCs w:val="1"/>
          <w:sz w:val="20"/>
          <w:szCs w:val="20"/>
        </w:rPr>
      </w:pPr>
      <w:r w:rsidDel="00000000" w:rsidR="00000000" w:rsidRPr="00000000">
        <w:rPr>
          <w:b w:val="1"/>
          <w:bCs w:val="1"/>
          <w:sz w:val="20"/>
          <w:szCs w:val="20"/>
          <w:rtl w:val="0"/>
        </w:rPr>
        <w:t xml:space="preserve">Paradoks stereotypów</w:t>
      </w:r>
    </w:p>
    <w:p w:rsidR="00000000" w:rsidDel="00000000" w:rsidP="00000000" w:rsidRDefault="00000000" w:rsidRPr="00000000" w14:paraId="0000000A">
      <w:pPr>
        <w:spacing w:after="240" w:before="240" w:line="300" w:lineRule="auto"/>
        <w:jc w:val="both"/>
        <w:rPr>
          <w:sz w:val="20"/>
          <w:szCs w:val="20"/>
        </w:rPr>
      </w:pPr>
      <w:r w:rsidDel="00000000" w:rsidR="00000000" w:rsidRPr="00000000">
        <w:rPr>
          <w:sz w:val="20"/>
          <w:szCs w:val="20"/>
          <w:rtl w:val="0"/>
        </w:rPr>
        <w:t xml:space="preserve">Opisane wyżej badanie z USA i Czech dokumentuje, że uprzedzenia wobec młodych dorosłych przejawiają się już w codziennych interakcjach społecznych, w tym w gotowości do dzielenia się zasobami i pomocą, i mają charakter systemowy, a nie incydentalny. Stéphane Francioli, jeden z pionierów badań nad youngismem, zauważa, że etykieta młodego pokolenia jako leniwego i roszczeniowego jest paradoksalnie ponadczasowa i nowa. Każde pokolenie oczekuje bowiem od następnego buntu wobec status quo, a jednocześnie nie lubi, gdy ten faktycznie następuje. Uprzedzenie wobec młodych jest więc niemal strukturalnie wbudowane w sposób, w jaki społeczeństwa przekazują i bronią swoich norm.</w:t>
      </w:r>
    </w:p>
    <w:p w:rsidR="00000000" w:rsidDel="00000000" w:rsidP="00000000" w:rsidRDefault="00000000" w:rsidRPr="00000000" w14:paraId="0000000B">
      <w:pPr>
        <w:spacing w:after="240" w:before="240" w:line="300" w:lineRule="auto"/>
        <w:jc w:val="both"/>
        <w:rPr>
          <w:sz w:val="20"/>
          <w:szCs w:val="20"/>
        </w:rPr>
      </w:pPr>
      <w:r w:rsidDel="00000000" w:rsidR="00000000" w:rsidRPr="00000000">
        <w:rPr>
          <w:sz w:val="20"/>
          <w:szCs w:val="20"/>
          <w:rtl w:val="0"/>
        </w:rPr>
        <w:t xml:space="preserve">Co możemy zrobić, aby nie wpaść w pułapkę postrzegania drugiej osoby z perspektywy tylko jej metryki? – W miejscu pracy skuteczne mogą okazać się programy mentoringowe działające w obie strony, tzw. reverse mentoring, gdzie młodszy pracownik wprowadza starszego w nowe narzędzia, a starszy dzieli się strategicznym doświadczeniem, które skutecznie budują wzajemny szacunek i rozbrajają stereotypy. Megan Gerhardt, ekspertka od zarządzania pokoleniami w miejscu pracy, rekomenduje tworzenie par i zespołów projektowych, w których współpraca osób w różnym wieku jest celowym założeniem, a nie przypadkiem. Po drugie, dostrzeżenie, że wiele konfliktów pokoleniowych wynika z przypisywania motywacji, „oni są leniwi”, „oni nie nadążają”, zamiast bezpośredniej rozmowy o oczekiwaniach i preferencjach. Otwarta komunikacja o tym, jak ktoś lubi pracować i co uważa za sensowne, jest prostsza i skuteczniejsza niż jakikolwiek generacyjny schemat – radzi dr Myślińska-Szarek.</w:t>
      </w:r>
    </w:p>
    <w:p w:rsidR="00000000" w:rsidDel="00000000" w:rsidP="00000000" w:rsidRDefault="00000000" w:rsidRPr="00000000" w14:paraId="0000000C">
      <w:pPr>
        <w:spacing w:after="240" w:before="240" w:line="300" w:lineRule="auto"/>
        <w:jc w:val="both"/>
        <w:rPr>
          <w:b w:val="1"/>
          <w:bCs w:val="1"/>
          <w:sz w:val="20"/>
          <w:szCs w:val="20"/>
        </w:rPr>
      </w:pPr>
      <w:r w:rsidDel="00000000" w:rsidR="00000000" w:rsidRPr="00000000">
        <w:rPr>
          <w:b w:val="1"/>
          <w:bCs w:val="1"/>
          <w:sz w:val="20"/>
          <w:szCs w:val="20"/>
          <w:rtl w:val="0"/>
        </w:rPr>
        <w:t xml:space="preserve">Międzypokoleniowe spotkanie</w:t>
      </w:r>
    </w:p>
    <w:p w:rsidR="00000000" w:rsidDel="00000000" w:rsidP="00000000" w:rsidRDefault="00000000" w:rsidRPr="00000000" w14:paraId="0000000D">
      <w:pPr>
        <w:spacing w:after="240" w:before="240" w:line="300" w:lineRule="auto"/>
        <w:jc w:val="both"/>
        <w:rPr>
          <w:sz w:val="20"/>
          <w:szCs w:val="20"/>
        </w:rPr>
      </w:pPr>
      <w:r w:rsidDel="00000000" w:rsidR="00000000" w:rsidRPr="00000000">
        <w:rPr>
          <w:sz w:val="20"/>
          <w:szCs w:val="20"/>
          <w:rtl w:val="0"/>
        </w:rPr>
        <w:t xml:space="preserve">Więcej o roli dialogu międzypokoleniowego eksperci opowiedzą podczas konferencji „Mosty zamiast murów”, która odbędzie się 10 czerwca w filii Uniwersytetu SWPS w Sopocie (ul. Polna 16/20). Więcej informacji na </w:t>
      </w:r>
      <w:hyperlink r:id="rId7">
        <w:r w:rsidDel="00000000" w:rsidR="00000000" w:rsidRPr="00000000">
          <w:rPr>
            <w:color w:val="1155cc"/>
            <w:sz w:val="20"/>
            <w:szCs w:val="20"/>
            <w:u w:val="single"/>
            <w:rtl w:val="0"/>
          </w:rPr>
          <w:t xml:space="preserve">stronie</w:t>
        </w:r>
      </w:hyperlink>
      <w:r w:rsidDel="00000000" w:rsidR="00000000" w:rsidRPr="00000000">
        <w:rPr>
          <w:sz w:val="20"/>
          <w:szCs w:val="20"/>
          <w:rtl w:val="0"/>
        </w:rPr>
        <w:t xml:space="preserve">.</w:t>
      </w:r>
    </w:p>
    <w:p w:rsidR="00000000" w:rsidDel="00000000" w:rsidP="00000000" w:rsidRDefault="00000000" w:rsidRPr="00000000" w14:paraId="0000000E">
      <w:pPr>
        <w:widowControl w:val="1"/>
        <w:spacing w:line="276"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00F">
      <w:pPr>
        <w:widowControl w:val="1"/>
        <w:spacing w:line="276" w:lineRule="auto"/>
        <w:jc w:val="both"/>
        <w:rPr>
          <w:b w:val="1"/>
          <w:bCs w:val="1"/>
          <w:sz w:val="20"/>
          <w:szCs w:val="20"/>
        </w:rPr>
      </w:pPr>
      <w:r w:rsidDel="00000000" w:rsidR="00000000" w:rsidRPr="00000000">
        <w:rPr>
          <w:rtl w:val="0"/>
        </w:rPr>
      </w:r>
    </w:p>
    <w:p w:rsidR="00000000" w:rsidDel="00000000" w:rsidP="00000000" w:rsidRDefault="00000000" w:rsidRPr="00000000" w14:paraId="00000010">
      <w:pPr>
        <w:widowControl w:val="1"/>
        <w:spacing w:line="276" w:lineRule="auto"/>
        <w:jc w:val="both"/>
        <w:rPr>
          <w:sz w:val="20"/>
          <w:szCs w:val="20"/>
        </w:rPr>
      </w:pPr>
      <w:r w:rsidDel="00000000" w:rsidR="00000000" w:rsidRPr="00000000">
        <w:rPr>
          <w:b w:val="1"/>
          <w:bCs w:val="1"/>
          <w:sz w:val="20"/>
          <w:szCs w:val="20"/>
          <w:rtl w:val="0"/>
        </w:rPr>
        <w:t xml:space="preserve">Uniwersytet SWPS</w:t>
      </w:r>
      <w:r w:rsidDel="00000000" w:rsidR="00000000" w:rsidRPr="00000000">
        <w:rPr>
          <w:sz w:val="20"/>
          <w:szCs w:val="20"/>
          <w:rtl w:val="0"/>
        </w:rPr>
        <w:t xml:space="preserve"> to nowoczesna uczelnia oparta na trwałych wartościach. Silną pozycję zawdzięcza połączeniu wysokiej jakości dydaktyki z badaniami naukowymi prowadzonymi na najwyższym poziomie. Uczelnia kształci blisko 18 tys. studentek i studentów – w tym ponad tysiąc z zagranicy oraz ponad 4,5 tys. słuchaczek i słuchaczy studiów podyplomowych na ponad 50 kierunkach studiów stacjonarnych i ponad 40 niestacjonarnych i ok. 240 kierunkach studiów podyplomowych. Uniwersytet oferuje programy studiów z psychologii, prawa, zarządzania, dziennikarstwa, filologii, kulturoznawstwa, nowych technologii oraz grafiki i wzornictwa, a także edukację w postaci szkoleń i krótkich kursów akademickich. Uczelnia dba o wysoką wartość akademicką naszych programów oraz ich dostosowanie do wymagań zmieniającego się rynku pracy. Kampusy Uniwersytetu SWPS znajdują się w sześciu miastach: Warszawie (siedziba), Wrocławiu, Sopocie, Poznaniu, Katowicach i w Krakowie.</w:t>
      </w:r>
    </w:p>
    <w:p w:rsidR="00000000" w:rsidDel="00000000" w:rsidP="00000000" w:rsidRDefault="00000000" w:rsidRPr="00000000" w14:paraId="00000011">
      <w:pPr>
        <w:widowControl w:val="1"/>
        <w:spacing w:line="276" w:lineRule="auto"/>
        <w:jc w:val="both"/>
        <w:rPr>
          <w:sz w:val="20"/>
          <w:szCs w:val="20"/>
        </w:rPr>
      </w:pPr>
      <w:r w:rsidDel="00000000" w:rsidR="00000000" w:rsidRPr="00000000">
        <w:rPr>
          <w:rtl w:val="0"/>
        </w:rPr>
      </w:r>
    </w:p>
    <w:p w:rsidR="00000000" w:rsidDel="00000000" w:rsidP="00000000" w:rsidRDefault="00000000" w:rsidRPr="00000000" w14:paraId="00000012">
      <w:pPr>
        <w:widowControl w:val="1"/>
        <w:spacing w:line="276" w:lineRule="auto"/>
        <w:jc w:val="both"/>
        <w:rPr>
          <w:sz w:val="20"/>
          <w:szCs w:val="20"/>
        </w:rPr>
      </w:pPr>
      <w:r w:rsidDel="00000000" w:rsidR="00000000" w:rsidRPr="00000000">
        <w:rPr>
          <w:sz w:val="20"/>
          <w:szCs w:val="20"/>
          <w:rtl w:val="0"/>
        </w:rPr>
        <w:t xml:space="preserve">Uczelnia posiada uprawnienia do nadawania stopnia doktora oraz doktora habilitowanego w siedmiu dyscyplinach: psychologia, nauki o kulturze i religii, literaturoznawstwo, nauki prawne, nauki socjologiczne, nauki o polityce i administracji, sztuki plastyczne i konserwacja dzieł sztuki. Na Uniwersytecie SWPS funkcjonuje pięć instytutów naukowych, które zajmują się organizacją i koordynacją działalności naukowej pracowników badawczych i badawczo-dydaktycznych uczelni w poszczególnych dyscyplinach: Instytut Psychologii, Instytut Nauk Humanistycznych, Instytut Nauk Społecznych, Instytut Prawa oraz Instytut Projektowania. W uczelni działa blisko 30 centrów badawczych oraz ponad 175 kół naukowych.</w:t>
      </w:r>
    </w:p>
    <w:p w:rsidR="00000000" w:rsidDel="00000000" w:rsidP="00000000" w:rsidRDefault="00000000" w:rsidRPr="00000000" w14:paraId="00000013">
      <w:pPr>
        <w:widowControl w:val="1"/>
        <w:spacing w:line="276" w:lineRule="auto"/>
        <w:jc w:val="both"/>
        <w:rPr>
          <w:sz w:val="20"/>
          <w:szCs w:val="20"/>
        </w:rPr>
      </w:pPr>
      <w:r w:rsidDel="00000000" w:rsidR="00000000" w:rsidRPr="00000000">
        <w:rPr>
          <w:rtl w:val="0"/>
        </w:rPr>
      </w:r>
    </w:p>
    <w:p w:rsidR="00000000" w:rsidDel="00000000" w:rsidP="00000000" w:rsidRDefault="00000000" w:rsidRPr="00000000" w14:paraId="00000014">
      <w:pPr>
        <w:widowControl w:val="1"/>
        <w:spacing w:line="276" w:lineRule="auto"/>
        <w:jc w:val="both"/>
        <w:rPr>
          <w:sz w:val="20"/>
          <w:szCs w:val="20"/>
        </w:rPr>
      </w:pPr>
      <w:r w:rsidDel="00000000" w:rsidR="00000000" w:rsidRPr="00000000">
        <w:rPr>
          <w:sz w:val="20"/>
          <w:szCs w:val="20"/>
          <w:rtl w:val="0"/>
        </w:rPr>
        <w:t xml:space="preserve">Uniwersytet SWPS należy do sojuszu European Reform University Alliance (ERUA). Jest to sojusz uczelni zawarty w ramach Inicjatywy Uniwersytetów Europejskich, powołanej i finansowanej przez Komisję Europejską.</w:t>
      </w:r>
    </w:p>
    <w:p w:rsidR="00000000" w:rsidDel="00000000" w:rsidP="00000000" w:rsidRDefault="00000000" w:rsidRPr="00000000" w14:paraId="00000015">
      <w:pPr>
        <w:widowControl w:val="1"/>
        <w:spacing w:line="276" w:lineRule="auto"/>
        <w:jc w:val="both"/>
        <w:rPr>
          <w:sz w:val="20"/>
          <w:szCs w:val="20"/>
        </w:rPr>
      </w:pPr>
      <w:r w:rsidDel="00000000" w:rsidR="00000000" w:rsidRPr="00000000">
        <w:rPr>
          <w:rtl w:val="0"/>
        </w:rPr>
      </w:r>
    </w:p>
    <w:sectPr>
      <w:headerReference r:id="rId8" w:type="default"/>
      <w:headerReference r:id="rId9" w:type="first"/>
      <w:headerReference r:id="rId10" w:type="even"/>
      <w:footerReference r:id="rId11" w:type="default"/>
      <w:pgSz w:h="16840" w:w="11910" w:orient="portrait"/>
      <w:pgMar w:bottom="2835" w:top="0" w:left="1701" w:right="1701" w:header="3685" w:footer="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llura">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-9522</wp:posOffset>
              </wp:positionH>
              <wp:positionV relativeFrom="paragraph">
                <wp:posOffset>9566275</wp:posOffset>
              </wp:positionV>
              <wp:extent cx="3580635" cy="436755"/>
              <wp:effectExtent b="0" l="0" r="0" t="0"/>
              <wp:wrapNone/>
              <wp:docPr id="1" name=""/>
              <a:graphic>
                <a:graphicData uri="http://schemas.microsoft.com/office/word/2010/wordprocessingShape">
                  <wps:wsp>
                    <wps:cNvSpPr/>
                    <wps:cNvPr id="2" name="Shape 2"/>
                    <wps:spPr>
                      <a:xfrm>
                        <a:off x="3589020" y="3594960"/>
                        <a:ext cx="3513960" cy="370080"/>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t xml:space="preserve">Uniwersytet SWPS</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r>
                          <w:r w:rsidDel="00000000" w:rsidR="00000000" w:rsidRPr="00000000">
                            <w:rPr>
                              <w:rFonts w:ascii="Montserrat" w:cs="Montserrat" w:eastAsia="Montserrat" w:hAnsi="Montserrat"/>
                              <w:b w:val="0"/>
                              <w:i w:val="0"/>
                              <w:smallCaps w:val="0"/>
                              <w:strike w:val="0"/>
                              <w:color w:val="000000"/>
                              <w:sz w:val="14"/>
                              <w:vertAlign w:val="baseline"/>
                            </w:rPr>
                            <w:t xml:space="preserve">ul. Chodakowska 19/31, 03-815 Warszawa</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-9522</wp:posOffset>
              </wp:positionH>
              <wp:positionV relativeFrom="paragraph">
                <wp:posOffset>9566275</wp:posOffset>
              </wp:positionV>
              <wp:extent cx="3580635" cy="436755"/>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3580635" cy="43675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-911220</wp:posOffset>
              </wp:positionH>
              <wp:positionV relativeFrom="paragraph">
                <wp:posOffset>9820275</wp:posOffset>
              </wp:positionV>
              <wp:extent cx="968475" cy="186195"/>
              <wp:effectExtent b="0" l="0" r="0" t="0"/>
              <wp:wrapNone/>
              <wp:docPr id="2" name=""/>
              <a:graphic>
                <a:graphicData uri="http://schemas.microsoft.com/office/word/2010/wordprocessingShape">
                  <wps:wsp>
                    <wps:cNvSpPr/>
                    <wps:cNvPr id="3" name="Shape 3"/>
                    <wps:spPr>
                      <a:xfrm>
                        <a:off x="4895100" y="3720240"/>
                        <a:ext cx="901800" cy="119520"/>
                      </a:xfrm>
                      <a:prstGeom prst="rect">
                        <a:avLst/>
                      </a:prstGeom>
                      <a:noFill/>
                      <a:ln>
                        <a:noFill/>
                      </a:ln>
                    </wps:spPr>
                    <wps:txbx>
                      <w:txbxContent>
                        <w:p w:rsidR="00000000" w:rsidDel="00000000" w:rsidP="00000000" w:rsidRDefault="00000000" w:rsidRPr="00000000">
                          <w:pPr>
                            <w:spacing w:after="0" w:before="20" w:line="240"/>
                            <w:ind w:left="20" w:right="0" w:firstLine="140"/>
                            <w:jc w:val="right"/>
                            <w:textDirection w:val="btLr"/>
                          </w:pPr>
                          <w:r w:rsidDel="00000000" w:rsidR="00000000" w:rsidRPr="00000000">
                            <w:rPr>
                              <w:rFonts w:ascii="Montserrat" w:cs="Montserrat" w:eastAsia="Montserrat" w:hAnsi="Montserrat"/>
                              <w:b w:val="1"/>
                              <w:i w:val="0"/>
                              <w:smallCaps w:val="0"/>
                              <w:strike w:val="0"/>
                              <w:color w:val="000000"/>
                              <w:sz w:val="14"/>
                              <w:vertAlign w:val="baseline"/>
                            </w:rPr>
                            <w:t xml:space="preserve">www.swps.pl</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-911220</wp:posOffset>
              </wp:positionH>
              <wp:positionV relativeFrom="paragraph">
                <wp:posOffset>9820275</wp:posOffset>
              </wp:positionV>
              <wp:extent cx="968475" cy="186195"/>
              <wp:effectExtent b="0" l="0" r="0" t="0"/>
              <wp:wrapNone/>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968475" cy="18619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align>center</wp:align>
          </wp:positionH>
          <wp:positionV relativeFrom="page">
            <wp:align>center</wp:align>
          </wp:positionV>
          <wp:extent cx="7556760" cy="10692000"/>
          <wp:effectExtent b="0" l="0" r="0" t="0"/>
          <wp:wrapNone/>
          <wp:docPr id="3"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7556760" cy="10692000"/>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2"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1.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1"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1.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Montserrat" w:cs="Montserrat" w:eastAsia="Montserrat" w:hAnsi="Montserrat"/>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Montserrat" w:cs="Montserrat" w:eastAsia="Montserrat" w:hAnsi="Montserrat"/>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Montserrat" w:cs="Montserrat" w:eastAsia="Montserrat" w:hAnsi="Montserrat"/>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Montserrat" w:cs="Montserrat" w:eastAsia="Montserrat" w:hAnsi="Montserrat"/>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Montserrat" w:cs="Montserrat" w:eastAsia="Montserrat" w:hAnsi="Montserrat"/>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Montserrat" w:cs="Montserrat" w:eastAsia="Montserrat" w:hAnsi="Montserrat"/>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spacing w:before="25" w:lineRule="auto"/>
      <w:ind w:left="20"/>
    </w:pPr>
    <w:rPr>
      <w:rFonts w:ascii="Allura" w:cs="Allura" w:eastAsia="Allura" w:hAnsi="Allura"/>
      <w:sz w:val="59"/>
      <w:szCs w:val="59"/>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3.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swps.pl/my-uniwersytet/aktualnosci/konferencje-i-seminaria/38769-mosty-zamiast-murow"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Allura-regular.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XVtcXu464mZalX6yUuDip3g4MQ==">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2021-08-23T00:00:00Z</vt:lpwstr>
  </property>
  <property fmtid="{D5CDD505-2E9C-101B-9397-08002B2CF9AE}" pid="3" name="Creator">
    <vt:lpwstr>Adobe Illustrator 25.0 (Macintosh)</vt:lpwstr>
  </property>
  <property fmtid="{D5CDD505-2E9C-101B-9397-08002B2CF9AE}" pid="4" name="Created">
    <vt:lpwstr>2021-08-23T00:00:00Z</vt:lpwstr>
  </property>
</Properties>
</file>