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Praca w Europie: Polska 21 lat po akcesji do UE. Czas na nową jakość zatrudnienia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 maja mija dwudziesta pierwsza rocznica przystąpienia Polski do Unii Europejskiej – wydarzenia, które nie tylko zmieniło bieg historii politycznej kraju, ale również otworzyło nowy rozdział dla milionów polskich pracowników. Legalny dostęp do europejskiego rynku pracy był jedną z najbardziej odczuwalnych zmian – w 2004 roku drzwi otworzyły przed nami m.in. Wielka Brytania, Irlandia i Szwecja, a w 2011 roku dołączyły Niemcy i Austria. Od tego momentu Polacy mogli podejmować legalną pracę w całej Unii Europejskiej. Na pytanie,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jakie były tego efekty, odpowiada Alicja Kotłowska, ekspertka zarządzania z Uniwersytetu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2004 roku stopa bezrobocia w Polsce sięgała 19 proc. Dziś, według danych Eurostatu z lutego 2025 roku, wynosi zaledwie 2,6 proc.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 To spektakularny sukces i jeden z powodów, dla których Święto Pracy – 1 maja – zbiega się w naszym kraju z dumą z bycia częścią europejskiej wspólnoty. Ale czy niskie bezrobocie wystarczy, by mówić o zdrowym i nowoczesnym rynku pracy?</w:t>
      </w:r>
    </w:p>
    <w:p w:rsidR="00000000" w:rsidDel="00000000" w:rsidP="00000000" w:rsidRDefault="00000000" w:rsidRPr="00000000" w14:paraId="00000007">
      <w:pPr>
        <w:widowControl w:val="1"/>
        <w:spacing w:after="160" w:line="259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Młodzi na marginesie sukcesu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Pod powierzchnią statystyk kryją się istotne wyzwania. Jednym z nich jest </w:t>
      </w:r>
      <w:r w:rsidDel="00000000" w:rsidR="00000000" w:rsidRPr="00000000">
        <w:rPr>
          <w:b w:val="1"/>
          <w:sz w:val="20"/>
          <w:szCs w:val="20"/>
          <w:rtl w:val="0"/>
        </w:rPr>
        <w:t xml:space="preserve">bezrobocie wśród młodych dorosłych</w:t>
      </w:r>
      <w:r w:rsidDel="00000000" w:rsidR="00000000" w:rsidRPr="00000000">
        <w:rPr>
          <w:sz w:val="20"/>
          <w:szCs w:val="20"/>
          <w:rtl w:val="0"/>
        </w:rPr>
        <w:t xml:space="preserve">. Choć ogólna stopa bezrobocia w Polsce jest rekordowo niska, wśród osób do 25. roku życia wynosi 10,4 proc. (Eurostat, styczeń 2025).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 To lepszy wynik niż unijna średnia (14,6 proc.), ale </w:t>
      </w:r>
      <w:r w:rsidDel="00000000" w:rsidR="00000000" w:rsidRPr="00000000">
        <w:rPr>
          <w:sz w:val="20"/>
          <w:szCs w:val="20"/>
          <w:rtl w:val="0"/>
        </w:rPr>
        <w:t xml:space="preserve">gorszy</w:t>
      </w:r>
      <w:r w:rsidDel="00000000" w:rsidR="00000000" w:rsidRPr="00000000">
        <w:rPr>
          <w:sz w:val="20"/>
          <w:szCs w:val="20"/>
          <w:rtl w:val="0"/>
        </w:rPr>
        <w:t xml:space="preserve"> niż w Niemczech (6,4 proc.) czy Holandii (8,9 proc.). 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Młodzi ludzie w Polsce, często lepiej wykształceni i bardziej mobilni cyfrowo, wciąż zbyt często trafiają na ścianę w postaci niestabilnych, niskopłatnych lub nieadekwatnych do kwalifikacji ofert pracy – zauważa Alicja Kotłowska, ekspertka zarządzania z Uniwersytetu SWPS.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after="160" w:line="259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Cyfrowe wyzwania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Drugim problemem jest </w:t>
      </w:r>
      <w:r w:rsidDel="00000000" w:rsidR="00000000" w:rsidRPr="00000000">
        <w:rPr>
          <w:b w:val="1"/>
          <w:sz w:val="20"/>
          <w:szCs w:val="20"/>
          <w:rtl w:val="0"/>
        </w:rPr>
        <w:t xml:space="preserve">niewystarczający poziom cyfryzacji polskiego rynku pracy</w:t>
      </w:r>
      <w:r w:rsidDel="00000000" w:rsidR="00000000" w:rsidRPr="00000000">
        <w:rPr>
          <w:sz w:val="20"/>
          <w:szCs w:val="20"/>
          <w:rtl w:val="0"/>
        </w:rPr>
        <w:t xml:space="preserve">. Indeks DESI (Digital Economy and Society Index), monitorowany przez Komisję Europejską, w przypadku Polski wynosi 40,55.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 To daleko poniżej wyników krajów skandynawskich, gdzie wartości mieszczą się w przedziale 60–70 punktów. Niski poziom digitalizacji oznacza mniejszą efektywność, słabsze wykorzystanie nowych technologii, a także wolniejsze przystosowywanie się do trendów, takich jak praca zdalna, automatyzacja czy zastosowanie sztucznej inteligencji.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PKB per capita a efektywność pracy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Pomimo wzrostu gospodarczego Polska wciąż pozostaje </w:t>
      </w:r>
      <w:r w:rsidDel="00000000" w:rsidR="00000000" w:rsidRPr="00000000">
        <w:rPr>
          <w:b w:val="1"/>
          <w:sz w:val="20"/>
          <w:szCs w:val="20"/>
          <w:rtl w:val="0"/>
        </w:rPr>
        <w:t xml:space="preserve">21 proc. poniżej średniej unijnej</w:t>
      </w:r>
      <w:r w:rsidDel="00000000" w:rsidR="00000000" w:rsidRPr="00000000">
        <w:rPr>
          <w:sz w:val="20"/>
          <w:szCs w:val="20"/>
          <w:rtl w:val="0"/>
        </w:rPr>
        <w:t xml:space="preserve">, jeśli chodzi o PKB per capita (dane wyrażone w sile nabywczej z 2024 roku).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Oznacza to, że choć pracujemy dużo – efektywność tej pracy i wartość dodana, jaką generujemy, pozostają relatywnie niskie. To sygnał, że konieczna jest nie tylko lepsza organizacja pracy, ale także inwestycje w rozwój kompetencji, innowacyjność oraz modernizację środowisk pracy – diagnozuje ekspertka.</w:t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Praca jest. Ale czy jest godna?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Dużym wyzwaniem w Polsce jest </w:t>
      </w:r>
      <w:r w:rsidDel="00000000" w:rsidR="00000000" w:rsidRPr="00000000">
        <w:rPr>
          <w:b w:val="1"/>
          <w:sz w:val="20"/>
          <w:szCs w:val="20"/>
          <w:rtl w:val="0"/>
        </w:rPr>
        <w:t xml:space="preserve">jakość zatrudnienia</w:t>
      </w:r>
      <w:r w:rsidDel="00000000" w:rsidR="00000000" w:rsidRPr="00000000">
        <w:rPr>
          <w:sz w:val="20"/>
          <w:szCs w:val="20"/>
          <w:rtl w:val="0"/>
        </w:rPr>
        <w:t xml:space="preserve">. Czy miejsca pracy w Polsce spełniają standardy „godnej pracy” (</w:t>
      </w:r>
      <w:r w:rsidDel="00000000" w:rsidR="00000000" w:rsidRPr="00000000">
        <w:rPr>
          <w:i w:val="1"/>
          <w:sz w:val="20"/>
          <w:szCs w:val="20"/>
          <w:rtl w:val="0"/>
        </w:rPr>
        <w:t xml:space="preserve">decent work</w:t>
      </w:r>
      <w:r w:rsidDel="00000000" w:rsidR="00000000" w:rsidRPr="00000000">
        <w:rPr>
          <w:sz w:val="20"/>
          <w:szCs w:val="20"/>
          <w:rtl w:val="0"/>
        </w:rPr>
        <w:t xml:space="preserve">), które wyznacza Międzynarodowa Organizacja Pracy, WHO czy Komisja Europejska? Niestety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w European Job Quality Index Polska plasuje się na końcu</w:t>
      </w:r>
      <w:r w:rsidDel="00000000" w:rsidR="00000000" w:rsidRPr="00000000">
        <w:rPr>
          <w:sz w:val="20"/>
          <w:szCs w:val="20"/>
          <w:rtl w:val="0"/>
        </w:rPr>
        <w:t xml:space="preserve">. Problemem są długie godziny pracy (ponad 40 godzin tygodniowo – jesteśmy w unijnej czołówce), brak równowagi między życiem zawodowym a prywatnym oraz częste wypalenie zawodowe.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Badania Agencji Eurofound pokazują, że </w:t>
      </w:r>
      <w:r w:rsidDel="00000000" w:rsidR="00000000" w:rsidRPr="00000000">
        <w:rPr>
          <w:b w:val="1"/>
          <w:sz w:val="20"/>
          <w:szCs w:val="20"/>
          <w:rtl w:val="0"/>
        </w:rPr>
        <w:t xml:space="preserve">62 proc. Polaków czuje się zmęczonych pracą</w:t>
      </w:r>
      <w:r w:rsidDel="00000000" w:rsidR="00000000" w:rsidRPr="00000000">
        <w:rPr>
          <w:sz w:val="20"/>
          <w:szCs w:val="20"/>
          <w:rtl w:val="0"/>
        </w:rPr>
        <w:t xml:space="preserve">, podczas gdy średnia unijna wynosi 37 proc. W Niemczech to zaledwie 22 proc. W Polsce 50 proc. pracowników zgłasza bóle głowy i zmęczenie oczu, 43 proc. – bóle mięśni i stawów. Na tle UE wyróżniamy się też negatywnie, jeśli chodzi o poziom stresu i objawy depresyjne: doświadcza ich 37 proc. Polaków (przy unijnej średniej 27 proc.).</w:t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 raportów wynika również, że </w:t>
      </w:r>
      <w:r w:rsidDel="00000000" w:rsidR="00000000" w:rsidRPr="00000000">
        <w:rPr>
          <w:b w:val="1"/>
          <w:sz w:val="20"/>
          <w:szCs w:val="20"/>
          <w:rtl w:val="0"/>
        </w:rPr>
        <w:t xml:space="preserve">Polacy są znacznie rzadziej doceniani przez swoich przełożonych</w:t>
      </w:r>
      <w:r w:rsidDel="00000000" w:rsidR="00000000" w:rsidRPr="00000000">
        <w:rPr>
          <w:sz w:val="20"/>
          <w:szCs w:val="20"/>
          <w:rtl w:val="0"/>
        </w:rPr>
        <w:t xml:space="preserve"> – tylko 62 proc. czuje się zauważonych i wspieranych, podczas gdy w Austrii ten wskaźnik sięga 81 proc. Połowa polskich pracowników uważa swoje wynagrodzenie za nieadekwatne – w Austrii tylko 29 proc. ma takie odczucie.</w:t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Europa jako wzorzec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Wielu Polaków miało okazję doświadczyć pracy w bardziej wspierającym środowisku – w Wielkiej Brytanii, Austrii, Niemczech czy Holandii. Tam dominują mniej hierarchiczne struktury, większa autonomia pracownika i bardziej partnerskie relacje. W Polsce nadal zbyt często stosujemy </w:t>
      </w:r>
      <w:r w:rsidDel="00000000" w:rsidR="00000000" w:rsidRPr="00000000">
        <w:rPr>
          <w:b w:val="1"/>
          <w:sz w:val="20"/>
          <w:szCs w:val="20"/>
          <w:rtl w:val="0"/>
        </w:rPr>
        <w:t xml:space="preserve">mikrozarządzanie</w:t>
      </w:r>
      <w:r w:rsidDel="00000000" w:rsidR="00000000" w:rsidRPr="00000000">
        <w:rPr>
          <w:sz w:val="20"/>
          <w:szCs w:val="20"/>
          <w:rtl w:val="0"/>
        </w:rPr>
        <w:t xml:space="preserve"> i styl zarządzania przypominający „rządzenie”, zamiast nowoczesnego mentoringu i demokratycznego przywództwa.</w:t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dodatku inwestycje w </w:t>
      </w:r>
      <w:r w:rsidDel="00000000" w:rsidR="00000000" w:rsidRPr="00000000">
        <w:rPr>
          <w:b w:val="1"/>
          <w:sz w:val="20"/>
          <w:szCs w:val="20"/>
          <w:rtl w:val="0"/>
        </w:rPr>
        <w:t xml:space="preserve">rozwój cyfrowych kompetencji</w:t>
      </w:r>
      <w:r w:rsidDel="00000000" w:rsidR="00000000" w:rsidRPr="00000000">
        <w:rPr>
          <w:sz w:val="20"/>
          <w:szCs w:val="20"/>
          <w:rtl w:val="0"/>
        </w:rPr>
        <w:t xml:space="preserve"> są wciąż niewystarczające. A przecież to właśnie one – obok jakości relacji, równowagi i możliwości rozwoju – będą wyznacznikiem sukcesu rynków pracy przyszłości.</w:t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Czas na jakościową pracę</w:t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swojej książce „Twoja Praca. Jak osiągnąć dobrostan i uniknąć wypalenia zawodowego”, Alicja Kotłowska pokazuje, jak destrukcyjna może być praca w toksycznym środowisku – z mikrozarządzaniem, nadgodzinami, brakiem sensu i perspektyw. Ale też – jak wiele możemy zyskać, jeśli postawimy na </w:t>
      </w:r>
      <w:r w:rsidDel="00000000" w:rsidR="00000000" w:rsidRPr="00000000">
        <w:rPr>
          <w:b w:val="1"/>
          <w:sz w:val="20"/>
          <w:szCs w:val="20"/>
          <w:rtl w:val="0"/>
        </w:rPr>
        <w:t xml:space="preserve">zdrowe i nowoczesne miejsca pracy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Młode pokolenia przynoszą nowe oczekiwania: są bardziej wrażliwe na kwestie etyczne, technologiczne i związane ze zrównoważonym rozwojem. W dniu Święta Pracy warto przypomnieć: </w:t>
      </w:r>
      <w:r w:rsidDel="00000000" w:rsidR="00000000" w:rsidRPr="00000000">
        <w:rPr>
          <w:b w:val="1"/>
          <w:sz w:val="20"/>
          <w:szCs w:val="20"/>
          <w:rtl w:val="0"/>
        </w:rPr>
        <w:t xml:space="preserve">pracownik to nie tylko siła robocza, ale człowiek</w:t>
      </w:r>
      <w:r w:rsidDel="00000000" w:rsidR="00000000" w:rsidRPr="00000000">
        <w:rPr>
          <w:sz w:val="20"/>
          <w:szCs w:val="20"/>
          <w:rtl w:val="0"/>
        </w:rPr>
        <w:t xml:space="preserve">. A to, czy potrafimy w Polsce zorganizować rynek pracy w sposób bardziej ludzki i efektywny, zdecyduje o naszym sukcesie w kolejnych dekadach – podsumowuje Alicja Kotłowska.</w:t>
      </w:r>
    </w:p>
    <w:p w:rsidR="00000000" w:rsidDel="00000000" w:rsidP="00000000" w:rsidRDefault="00000000" w:rsidRPr="00000000" w14:paraId="0000002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spacing w:after="160" w:line="259" w:lineRule="auto"/>
        <w:jc w:val="center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3840444" cy="3648689"/>
            <wp:effectExtent b="0" l="0" r="0" t="0"/>
            <wp:docPr id="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40444" cy="36486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rys. A. Kotłowska, Twoja Praca. Jak osiągnąć dobrostan i uniknąć wypalenia zawodowego, Helion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C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F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4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Źródło: Eurostat, data dostępu 04.03.2025 r.</w:t>
      </w:r>
    </w:p>
  </w:footnote>
  <w:footnote w:id="1"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Źródło: Eurostat, data dostępu 04.03.2025 r.</w:t>
      </w:r>
    </w:p>
  </w:footnote>
  <w:footnote w:id="2"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Źródło: DESI 2022, European Commission</w:t>
      </w:r>
    </w:p>
  </w:footnote>
  <w:footnote w:id="3"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Źródło: Eurostat, data dostępu 04.03.2025 r.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22ekdLBV4HhGSBaP93QRTInY8Q==">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