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sz w:val="20"/>
          <w:szCs w:val="20"/>
        </w:rPr>
      </w:pPr>
      <w:r w:rsidDel="00000000" w:rsidR="00000000" w:rsidRPr="00000000">
        <w:rPr>
          <w:b w:val="1"/>
          <w:bCs w:val="1"/>
          <w:sz w:val="28"/>
          <w:szCs w:val="28"/>
          <w:rtl w:val="0"/>
        </w:rPr>
        <w:t xml:space="preserve">Gdy biuro staje się ucieczką przed własnym życiem</w:t>
      </w:r>
      <w:r w:rsidDel="00000000" w:rsidR="00000000" w:rsidRPr="00000000">
        <w:rPr>
          <w:rtl w:val="0"/>
        </w:rPr>
      </w:r>
    </w:p>
    <w:p w:rsidR="00000000" w:rsidDel="00000000" w:rsidP="00000000" w:rsidRDefault="00000000" w:rsidRPr="00000000" w14:paraId="00000002">
      <w:pPr>
        <w:spacing w:after="240" w:before="240" w:lineRule="auto"/>
        <w:rPr>
          <w:rFonts w:ascii="Arial" w:cs="Arial" w:eastAsia="Arial" w:hAnsi="Arial"/>
          <w:b w:val="1"/>
          <w:bCs w:val="1"/>
        </w:rPr>
      </w:pPr>
      <w:r w:rsidDel="00000000" w:rsidR="00000000" w:rsidRPr="00000000">
        <w:rPr>
          <w:rFonts w:ascii="Arial" w:cs="Arial" w:eastAsia="Arial" w:hAnsi="Arial"/>
          <w:b w:val="1"/>
          <w:bCs w:val="1"/>
          <w:rtl w:val="0"/>
        </w:rPr>
        <w:t xml:space="preserve">Jeszcze kilkanaście lat temu pracoholik był bohaterem. Pierwszy przychodził do biura, ostatni z niego wychodził, odbierał telefon podczas urlopu i odpowiadał na maile o drugiej w nocy. Dziś wiemy, że za takim obrazem może kryć się nie ambicja, lecz uzależnienie od pracy. O pracoholizmie opowiada Żaneta Rachwaniec, psycholożka z Uniwersytetu SWPS.</w:t>
      </w:r>
    </w:p>
    <w:p w:rsidR="00000000" w:rsidDel="00000000" w:rsidP="00000000" w:rsidRDefault="00000000" w:rsidRPr="00000000" w14:paraId="00000003">
      <w:pPr>
        <w:spacing w:after="240" w:before="240" w:line="300" w:lineRule="auto"/>
        <w:rPr>
          <w:sz w:val="20"/>
          <w:szCs w:val="20"/>
        </w:rPr>
      </w:pPr>
      <w:r w:rsidDel="00000000" w:rsidR="00000000" w:rsidRPr="00000000">
        <w:rPr>
          <w:sz w:val="20"/>
          <w:szCs w:val="20"/>
          <w:rtl w:val="0"/>
        </w:rPr>
        <w:t xml:space="preserve">Pracoholizm jest jednym z niewielu uzależnień, za które na początku dostajemy pochwały, premie i awanse. Dopiero później pojawia się rachunek. </w:t>
      </w:r>
    </w:p>
    <w:p w:rsidR="00000000" w:rsidDel="00000000" w:rsidP="00000000" w:rsidRDefault="00000000" w:rsidRPr="00000000" w14:paraId="00000004">
      <w:pPr>
        <w:spacing w:after="240" w:before="240" w:line="300" w:lineRule="auto"/>
        <w:rPr>
          <w:sz w:val="20"/>
          <w:szCs w:val="20"/>
        </w:rPr>
      </w:pPr>
      <w:r w:rsidDel="00000000" w:rsidR="00000000" w:rsidRPr="00000000">
        <w:rPr>
          <w:sz w:val="20"/>
          <w:szCs w:val="20"/>
          <w:rtl w:val="0"/>
        </w:rPr>
        <w:t xml:space="preserve">– Objawy łatwo zbagatelizować, bo w naszej kulturze nadmierne zaangażowanie zawodowe nadal bywa powodem do dumy. Przez wiele lat o pracoholizmie myślano przede wszystkim przez pryzmat liczby przepracowanych godzin i był on synonimem ciężkiej pracy. Dzisiaj wiemy, że to zbyt duże uproszczenie – mówi Żaneta Rachwaniec, psycholożka z Wydziału Psychologii w Katowicach Uniwersytetu SWPS.</w:t>
      </w:r>
    </w:p>
    <w:p w:rsidR="00000000" w:rsidDel="00000000" w:rsidP="00000000" w:rsidRDefault="00000000" w:rsidRPr="00000000" w14:paraId="00000005">
      <w:pPr>
        <w:spacing w:after="240" w:before="240" w:line="300" w:lineRule="auto"/>
        <w:rPr>
          <w:sz w:val="20"/>
          <w:szCs w:val="20"/>
        </w:rPr>
      </w:pPr>
      <w:r w:rsidDel="00000000" w:rsidR="00000000" w:rsidRPr="00000000">
        <w:rPr>
          <w:sz w:val="20"/>
          <w:szCs w:val="20"/>
          <w:rtl w:val="0"/>
        </w:rPr>
        <w:t xml:space="preserve">Jak podkreślają Toon </w:t>
      </w:r>
      <w:r w:rsidDel="00000000" w:rsidR="00000000" w:rsidRPr="00000000">
        <w:rPr>
          <w:sz w:val="20"/>
          <w:szCs w:val="20"/>
          <w:rtl w:val="0"/>
        </w:rPr>
        <w:t xml:space="preserve">Taris i Jan de Jonge</w:t>
      </w:r>
      <w:r w:rsidDel="00000000" w:rsidR="00000000" w:rsidRPr="00000000">
        <w:rPr>
          <w:sz w:val="20"/>
          <w:szCs w:val="20"/>
          <w:rtl w:val="0"/>
        </w:rPr>
        <w:t xml:space="preserve"> (2024), autorzy najnowszego przeglądu ponad pięćdziesięciu lat badań nad pracoholizmem, kluczowym objawem nie jest to, ile pracujemy, ale dlaczego pracujemy i czy potrafimy przestać.</w:t>
      </w:r>
    </w:p>
    <w:p w:rsidR="00000000" w:rsidDel="00000000" w:rsidP="00000000" w:rsidRDefault="00000000" w:rsidRPr="00000000" w14:paraId="00000006">
      <w:pPr>
        <w:spacing w:after="240" w:before="240" w:line="300" w:lineRule="auto"/>
        <w:rPr>
          <w:b w:val="1"/>
          <w:bCs w:val="1"/>
          <w:sz w:val="20"/>
          <w:szCs w:val="20"/>
        </w:rPr>
      </w:pPr>
      <w:r w:rsidDel="00000000" w:rsidR="00000000" w:rsidRPr="00000000">
        <w:rPr>
          <w:b w:val="1"/>
          <w:bCs w:val="1"/>
          <w:sz w:val="20"/>
          <w:szCs w:val="20"/>
          <w:rtl w:val="0"/>
        </w:rPr>
        <w:t xml:space="preserve">Wewnętrzny przymus zamiast satysfakcji</w:t>
      </w:r>
    </w:p>
    <w:p w:rsidR="00000000" w:rsidDel="00000000" w:rsidP="00000000" w:rsidRDefault="00000000" w:rsidRPr="00000000" w14:paraId="00000007">
      <w:pPr>
        <w:spacing w:after="240" w:before="240" w:line="300" w:lineRule="auto"/>
        <w:rPr>
          <w:sz w:val="20"/>
          <w:szCs w:val="20"/>
        </w:rPr>
      </w:pPr>
      <w:r w:rsidDel="00000000" w:rsidR="00000000" w:rsidRPr="00000000">
        <w:rPr>
          <w:sz w:val="20"/>
          <w:szCs w:val="20"/>
          <w:rtl w:val="0"/>
        </w:rPr>
        <w:t xml:space="preserve">Jednym z największych mitów dotyczących pracoholizmu jest przekonanie, że decyduje o nim liczba przepracowanych godzin. Tymczasem za najważniejszą cechę pracoholizmu badacze uznają wewnętrzny przymus. Osoby zmagające się z tym problemem częściej doświadczają problemów zdrowotnych: zmęczenia, bezsenności, bólów głowy, karku i pleców, dolegliwości ze strony przewodu pokarmowego, podwyższonego ciśnienia, powracających infekcji. Jednocześnie częściej zmagają się z konfliktami rodzinnymi, pogorszeniem relacji z bliskimi i obniżoną jakością życia. </w:t>
      </w:r>
    </w:p>
    <w:p w:rsidR="00000000" w:rsidDel="00000000" w:rsidP="00000000" w:rsidRDefault="00000000" w:rsidRPr="00000000" w14:paraId="00000008">
      <w:pPr>
        <w:spacing w:after="240" w:before="240" w:line="300" w:lineRule="auto"/>
        <w:rPr>
          <w:sz w:val="20"/>
          <w:szCs w:val="20"/>
        </w:rPr>
      </w:pPr>
      <w:r w:rsidDel="00000000" w:rsidR="00000000" w:rsidRPr="00000000">
        <w:rPr>
          <w:sz w:val="20"/>
          <w:szCs w:val="20"/>
          <w:rtl w:val="0"/>
        </w:rPr>
        <w:t xml:space="preserve">– Osoba zaangażowana w swoją pracę czerpie z niej satysfakcję, ale potrafi świadomie wyznaczać granice. Pracoholik funkcjonuje inaczej. Nawet jeśli formalnie kończy dzień pracy, jego umysł nadal pozostaje w trybie zawodowym – wyjaśnia Żaneta Rachwaniec.</w:t>
      </w:r>
    </w:p>
    <w:p w:rsidR="00000000" w:rsidDel="00000000" w:rsidP="00000000" w:rsidRDefault="00000000" w:rsidRPr="00000000" w14:paraId="00000009">
      <w:pPr>
        <w:spacing w:after="240" w:before="240" w:line="300" w:lineRule="auto"/>
        <w:rPr>
          <w:b w:val="1"/>
          <w:bCs w:val="1"/>
          <w:sz w:val="20"/>
          <w:szCs w:val="20"/>
        </w:rPr>
      </w:pPr>
      <w:r w:rsidDel="00000000" w:rsidR="00000000" w:rsidRPr="00000000">
        <w:rPr>
          <w:b w:val="1"/>
          <w:bCs w:val="1"/>
          <w:sz w:val="20"/>
          <w:szCs w:val="20"/>
          <w:rtl w:val="0"/>
        </w:rPr>
        <w:t xml:space="preserve">Praca jako azyl</w:t>
      </w:r>
    </w:p>
    <w:p w:rsidR="00000000" w:rsidDel="00000000" w:rsidP="00000000" w:rsidRDefault="00000000" w:rsidRPr="00000000" w14:paraId="0000000A">
      <w:pPr>
        <w:spacing w:after="240" w:before="240" w:line="300" w:lineRule="auto"/>
        <w:rPr>
          <w:sz w:val="20"/>
          <w:szCs w:val="20"/>
        </w:rPr>
      </w:pPr>
      <w:r w:rsidDel="00000000" w:rsidR="00000000" w:rsidRPr="00000000">
        <w:rPr>
          <w:sz w:val="20"/>
          <w:szCs w:val="20"/>
          <w:rtl w:val="0"/>
        </w:rPr>
        <w:t xml:space="preserve">Wbrew obiegowym opiniom pracoholizm rzadko wynika wyłącznie z ambicji. Znacznie częściej jest sposobem radzenia sobie z emocjami. Praca staje się ucieczką od samotności, konfliktów w związku czy poczucia pustki, miejscem, w którym można wreszcie poczuć się kompetentnym i potrzebnym. Każde kolejne osiągnięcie przynosi chwilową ulgę, ale tylko na moment. Bardzo szybko pojawia się potrzeba kolejnego sukcesu. Z czasem pojawia się błędne koło – im większy stres lub dyskomfort, tym silniejsza potrzeba, by ponownie „uciec” w pracę.</w:t>
      </w:r>
    </w:p>
    <w:p w:rsidR="00000000" w:rsidDel="00000000" w:rsidP="00000000" w:rsidRDefault="00000000" w:rsidRPr="00000000" w14:paraId="0000000B">
      <w:pPr>
        <w:spacing w:after="240" w:before="240" w:line="300" w:lineRule="auto"/>
        <w:rPr>
          <w:sz w:val="20"/>
          <w:szCs w:val="20"/>
        </w:rPr>
      </w:pPr>
      <w:r w:rsidDel="00000000" w:rsidR="00000000" w:rsidRPr="00000000">
        <w:rPr>
          <w:sz w:val="20"/>
          <w:szCs w:val="20"/>
          <w:rtl w:val="0"/>
        </w:rPr>
        <w:t xml:space="preserve">Co </w:t>
      </w:r>
      <w:r w:rsidDel="00000000" w:rsidR="00000000" w:rsidRPr="00000000">
        <w:rPr>
          <w:sz w:val="20"/>
          <w:szCs w:val="20"/>
          <w:rtl w:val="0"/>
        </w:rPr>
        <w:t xml:space="preserve">ważne</w:t>
      </w:r>
      <w:r w:rsidDel="00000000" w:rsidR="00000000" w:rsidRPr="00000000">
        <w:rPr>
          <w:sz w:val="20"/>
          <w:szCs w:val="20"/>
          <w:rtl w:val="0"/>
        </w:rPr>
        <w:t xml:space="preserve">, problem ten dotyczy już </w:t>
      </w:r>
      <w:r w:rsidDel="00000000" w:rsidR="00000000" w:rsidRPr="00000000">
        <w:rPr>
          <w:sz w:val="20"/>
          <w:szCs w:val="20"/>
          <w:rtl w:val="0"/>
        </w:rPr>
        <w:t xml:space="preserve">istotnej</w:t>
      </w:r>
      <w:r w:rsidDel="00000000" w:rsidR="00000000" w:rsidRPr="00000000">
        <w:rPr>
          <w:sz w:val="20"/>
          <w:szCs w:val="20"/>
          <w:rtl w:val="0"/>
        </w:rPr>
        <w:t xml:space="preserve"> części pracujących. Największa jak dotąd metaanaliza, obejmująca ponad 71 tys.osób z 23 krajów, wskazuje, że objawy pracoholizmu może przejawiać około 14 proc. pracowników, choć odsetek ten różni się w zależności od sposobu pomiaru i badanej populacji (Andersen i wsp., 2023).</w:t>
      </w:r>
    </w:p>
    <w:p w:rsidR="00000000" w:rsidDel="00000000" w:rsidP="00000000" w:rsidRDefault="00000000" w:rsidRPr="00000000" w14:paraId="0000000C">
      <w:pPr>
        <w:spacing w:after="240" w:before="240" w:line="300" w:lineRule="auto"/>
        <w:rPr>
          <w:sz w:val="20"/>
          <w:szCs w:val="20"/>
        </w:rPr>
      </w:pPr>
      <w:r w:rsidDel="00000000" w:rsidR="00000000" w:rsidRPr="00000000">
        <w:rPr>
          <w:b w:val="1"/>
          <w:bCs w:val="1"/>
          <w:sz w:val="20"/>
          <w:szCs w:val="20"/>
          <w:rtl w:val="0"/>
        </w:rPr>
        <w:t xml:space="preserve">Przykład idzie z góry</w:t>
      </w:r>
      <w:r w:rsidDel="00000000" w:rsidR="00000000" w:rsidRPr="00000000">
        <w:rPr>
          <w:rtl w:val="0"/>
        </w:rPr>
      </w:r>
    </w:p>
    <w:p w:rsidR="00000000" w:rsidDel="00000000" w:rsidP="00000000" w:rsidRDefault="00000000" w:rsidRPr="00000000" w14:paraId="0000000D">
      <w:pPr>
        <w:spacing w:after="240" w:before="240" w:line="300" w:lineRule="auto"/>
        <w:rPr>
          <w:sz w:val="20"/>
          <w:szCs w:val="20"/>
        </w:rPr>
      </w:pPr>
      <w:r w:rsidDel="00000000" w:rsidR="00000000" w:rsidRPr="00000000">
        <w:rPr>
          <w:sz w:val="20"/>
          <w:szCs w:val="20"/>
          <w:rtl w:val="0"/>
        </w:rPr>
        <w:t xml:space="preserve">Przez wiele lat pytaliśmy ludzi: „Ile pracujesz?”. Dzisiaj psychologia zadaje inne pytanie: „Co czujesz, kiedy nie pracujesz?”. To właśnie odpowiedź na nie najczęściej pokazuje, czy praca jest źródłem satysfakcji, czy stała się sposobem ucieczki przed własnymi emocjami. Psycholożka z Uniwersytetu SWPS zwraca uwagę na paradoks: o zdrowym stosunku do pracy nie świadczy liczba przepracowanych godzin, ale umiejętność świadomego odpoczywania – bez lęku, poczucia winy i przekonania, że nasza wartość zależy wyłącznie od kolejnego zawodowego sukcesu.</w:t>
      </w:r>
    </w:p>
    <w:p w:rsidR="00000000" w:rsidDel="00000000" w:rsidP="00000000" w:rsidRDefault="00000000" w:rsidRPr="00000000" w14:paraId="0000000E">
      <w:pPr>
        <w:spacing w:after="240" w:before="240" w:line="300" w:lineRule="auto"/>
        <w:rPr>
          <w:sz w:val="20"/>
          <w:szCs w:val="20"/>
        </w:rPr>
      </w:pPr>
      <w:r w:rsidDel="00000000" w:rsidR="00000000" w:rsidRPr="00000000">
        <w:rPr>
          <w:sz w:val="20"/>
          <w:szCs w:val="20"/>
          <w:rtl w:val="0"/>
        </w:rPr>
        <w:t xml:space="preserve">Przez lata odpowiedzialność za zachowanie równowagi między pracą a życiem prywatnym przerzucano głównie na pracowników. Dziś wiemy, że ogromną rolę odgrywa również kultura organizacyjna. Coraz więcej badań pokazuje, że to liderzy wyznaczają normy funkcjonowania organizacji – nie tylko poprzez procedury, ale przede wszystkim poprzez własne codzienne zachowania. Dlatego jednym z najważniejszych narzędzi profilaktyki pracoholizmu nie jest kolejne szkolenie z </w:t>
      </w:r>
      <w:r w:rsidDel="00000000" w:rsidR="00000000" w:rsidRPr="00000000">
        <w:rPr>
          <w:i w:val="1"/>
          <w:iCs w:val="1"/>
          <w:sz w:val="20"/>
          <w:szCs w:val="20"/>
          <w:rtl w:val="0"/>
        </w:rPr>
        <w:t xml:space="preserve">work-life balance</w:t>
      </w:r>
      <w:r w:rsidDel="00000000" w:rsidR="00000000" w:rsidRPr="00000000">
        <w:rPr>
          <w:sz w:val="20"/>
          <w:szCs w:val="20"/>
          <w:rtl w:val="0"/>
        </w:rPr>
        <w:t xml:space="preserve">, lecz kultura organizacyjna, w której regeneracja jest traktowana jako warunek długofalowej efektywności, a nie oznaka braku zaangażowania.</w:t>
      </w:r>
    </w:p>
    <w:p w:rsidR="00000000" w:rsidDel="00000000" w:rsidP="00000000" w:rsidRDefault="00000000" w:rsidRPr="00000000" w14:paraId="0000000F">
      <w:pPr>
        <w:spacing w:after="240" w:before="240" w:line="300" w:lineRule="auto"/>
        <w:rPr>
          <w:sz w:val="20"/>
          <w:szCs w:val="20"/>
        </w:rPr>
      </w:pPr>
      <w:r w:rsidDel="00000000" w:rsidR="00000000" w:rsidRPr="00000000">
        <w:rPr>
          <w:b w:val="1"/>
          <w:bCs w:val="1"/>
          <w:sz w:val="20"/>
          <w:szCs w:val="20"/>
          <w:rtl w:val="0"/>
        </w:rPr>
        <w:t xml:space="preserve">Sam urlop nie wystarczy</w:t>
      </w:r>
      <w:r w:rsidDel="00000000" w:rsidR="00000000" w:rsidRPr="00000000">
        <w:rPr>
          <w:rtl w:val="0"/>
        </w:rPr>
      </w:r>
    </w:p>
    <w:p w:rsidR="00000000" w:rsidDel="00000000" w:rsidP="00000000" w:rsidRDefault="00000000" w:rsidRPr="00000000" w14:paraId="00000010">
      <w:pPr>
        <w:spacing w:after="240" w:before="240" w:line="300" w:lineRule="auto"/>
        <w:rPr>
          <w:sz w:val="20"/>
          <w:szCs w:val="20"/>
        </w:rPr>
      </w:pPr>
      <w:r w:rsidDel="00000000" w:rsidR="00000000" w:rsidRPr="00000000">
        <w:rPr>
          <w:sz w:val="20"/>
          <w:szCs w:val="20"/>
          <w:rtl w:val="0"/>
        </w:rPr>
        <w:t xml:space="preserve">Urlop może zmniejszyć poziom zmęczenia, ale nie zmienia mechanizmów psychologicznych odpowiedzialnych za pracoholizm. Dlatego skuteczna pomoc zwykle obejmuje nie tylko odpoczynek, ale także zmianę sposobu myślenia o sobie, naukę stawiania granic i rozwijanie umiejętności regulowania emocji. W wielu przypadkach pomocna okazuje się psychoterapia. Jak pomóc, gdy ten problem zauważamy u najbliższych? Większość osób zmagających się z pracoholizmem nie uważa swojego zachowania za problem. Dlatego rozmowę warto zacząć nie od oceniania, ale od troski. W wielu przypadkach to właśnie taka rozmowa staje się pierwszym krokiem do poszukania profesjonalnej pomocy.</w:t>
      </w:r>
    </w:p>
    <w:p w:rsidR="00000000" w:rsidDel="00000000" w:rsidP="00000000" w:rsidRDefault="00000000" w:rsidRPr="00000000" w14:paraId="00000011">
      <w:pPr>
        <w:spacing w:after="240" w:before="240" w:line="300" w:lineRule="auto"/>
        <w:rPr>
          <w:sz w:val="20"/>
          <w:szCs w:val="20"/>
        </w:rPr>
      </w:pPr>
      <w:r w:rsidDel="00000000" w:rsidR="00000000" w:rsidRPr="00000000">
        <w:rPr>
          <w:sz w:val="20"/>
          <w:szCs w:val="20"/>
          <w:rtl w:val="0"/>
        </w:rPr>
        <w:t xml:space="preserve">– Podobnie jak w przypadku innych uzależnień behawioralnych, nawroty pracoholizmu są możliwe, zwłaszcza w okresach silnego stresu lub dużych zmian życiowych. Nie oznacza to jednak, że są nieuniknione. Osoby, które potrafią rozpoznać pierwsze sygnały ostrzegawcze, mają znacznie większą szansę zatrzymać ten proces, zanim ponownie przejmie kontrolę nad ich życiem – uspokaja Żaneta Rachwaniec.</w:t>
      </w:r>
    </w:p>
    <w:p w:rsidR="00000000" w:rsidDel="00000000" w:rsidP="00000000" w:rsidRDefault="00000000" w:rsidRPr="00000000" w14:paraId="00000012">
      <w:pPr>
        <w:widowControl w:val="1"/>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w:t>
      </w:r>
    </w:p>
    <w:p w:rsidR="00000000" w:rsidDel="00000000" w:rsidP="00000000" w:rsidRDefault="00000000" w:rsidRPr="00000000" w14:paraId="00000013">
      <w:pPr>
        <w:widowControl w:val="1"/>
        <w:spacing w:line="276" w:lineRule="auto"/>
        <w:rPr>
          <w:b w:val="1"/>
          <w:bCs w:val="1"/>
          <w:sz w:val="20"/>
          <w:szCs w:val="20"/>
        </w:rPr>
      </w:pPr>
      <w:r w:rsidDel="00000000" w:rsidR="00000000" w:rsidRPr="00000000">
        <w:rPr>
          <w:rtl w:val="0"/>
        </w:rPr>
      </w:r>
    </w:p>
    <w:p w:rsidR="00000000" w:rsidDel="00000000" w:rsidP="00000000" w:rsidRDefault="00000000" w:rsidRPr="00000000" w14:paraId="00000014">
      <w:pPr>
        <w:widowControl w:val="1"/>
        <w:spacing w:line="276" w:lineRule="auto"/>
        <w:rPr>
          <w:sz w:val="20"/>
          <w:szCs w:val="20"/>
        </w:rPr>
      </w:pPr>
      <w:r w:rsidDel="00000000" w:rsidR="00000000" w:rsidRPr="00000000">
        <w:rPr>
          <w:b w:val="1"/>
          <w:bCs w:val="1"/>
          <w:sz w:val="20"/>
          <w:szCs w:val="20"/>
          <w:rtl w:val="0"/>
        </w:rPr>
        <w:t xml:space="preserve">Uniwersytet SWPS</w:t>
      </w:r>
      <w:r w:rsidDel="00000000" w:rsidR="00000000" w:rsidRPr="00000000">
        <w:rPr>
          <w:sz w:val="20"/>
          <w:szCs w:val="20"/>
          <w:rtl w:val="0"/>
        </w:rPr>
        <w:t xml:space="preserve"> to nowoczesna uczelnia oparta na trwałych wartościach. Silną pozycję zawdzięcza połączeniu wysokiej jakości dydaktyki z badaniami naukowymi prowadzonymi na najwyższym poziomie. Uczelnia kształci blisko 18 tys. studentek i studentów – w tym ponad tysiąc z zagranicy oraz ponad 4,5 tys. słuchaczek i słuchaczy studiów podyplomowych na ponad 50 kierunkach studiów stacjonarnych i ponad 40 niestacjonarnych i ok. 240 kierunkach studiów podyplomowych. Uniwersytet oferuje programy studiów z psychologii, prawa, zarządzania, dziennikarstwa, filologii, kulturoznawstwa, nowych technologii oraz grafiki i wzornictwa, a także edukację w postaci szkoleń i krótkich kursów akademickich. Uczelnia dba o wysoką wartość akademicką naszych programów oraz ich dostosowanie do wymagań zmieniającego się rynku pracy. Kampusy Uniwersytetu SWPS znajdują się w sześciu miastach: Warszawie (siedziba), Wrocławiu, Sopocie, Poznaniu, Katowicach i w Krakowie.</w:t>
      </w:r>
    </w:p>
    <w:p w:rsidR="00000000" w:rsidDel="00000000" w:rsidP="00000000" w:rsidRDefault="00000000" w:rsidRPr="00000000" w14:paraId="00000015">
      <w:pPr>
        <w:widowControl w:val="1"/>
        <w:spacing w:line="276" w:lineRule="auto"/>
        <w:rPr>
          <w:sz w:val="20"/>
          <w:szCs w:val="20"/>
        </w:rPr>
      </w:pPr>
      <w:r w:rsidDel="00000000" w:rsidR="00000000" w:rsidRPr="00000000">
        <w:rPr>
          <w:rtl w:val="0"/>
        </w:rPr>
      </w:r>
    </w:p>
    <w:p w:rsidR="00000000" w:rsidDel="00000000" w:rsidP="00000000" w:rsidRDefault="00000000" w:rsidRPr="00000000" w14:paraId="00000016">
      <w:pPr>
        <w:widowControl w:val="1"/>
        <w:spacing w:line="276" w:lineRule="auto"/>
        <w:rPr>
          <w:sz w:val="20"/>
          <w:szCs w:val="20"/>
        </w:rPr>
      </w:pPr>
      <w:r w:rsidDel="00000000" w:rsidR="00000000" w:rsidRPr="00000000">
        <w:rPr>
          <w:sz w:val="20"/>
          <w:szCs w:val="20"/>
          <w:rtl w:val="0"/>
        </w:rPr>
        <w:t xml:space="preserve">Uczelnia posiada uprawnienia do nadawania stopnia doktora oraz doktora habilitowanego w siedmiu dyscyplinach: psychologia, nauki o kulturze i religii, literaturoznawstwo, nauki prawne, nauki socjologiczne, nauki o polityce i administracji, sztuki plastyczne i konserwacja dzieł sztuki. Na Uniwersytecie SWPS funkcjonuje pięć instytutów naukowych, które zajmują się organizacją i koordynacją działalności naukowej pracowników badawczych i badawczo-dydaktycznych uczelni w poszczególnych dyscyplinach: Instytut Psychologii, Instytut Nauk Humanistycznych, Instytut Nauk Społecznych, Instytut Prawa oraz Instytut Projektowania. W uczelni działa blisko 30 centrów badawczych oraz ponad 175 kół naukowych.</w:t>
      </w:r>
    </w:p>
    <w:p w:rsidR="00000000" w:rsidDel="00000000" w:rsidP="00000000" w:rsidRDefault="00000000" w:rsidRPr="00000000" w14:paraId="00000017">
      <w:pPr>
        <w:widowControl w:val="1"/>
        <w:spacing w:line="276" w:lineRule="auto"/>
        <w:rPr>
          <w:sz w:val="20"/>
          <w:szCs w:val="20"/>
        </w:rPr>
      </w:pPr>
      <w:r w:rsidDel="00000000" w:rsidR="00000000" w:rsidRPr="00000000">
        <w:rPr>
          <w:rtl w:val="0"/>
        </w:rPr>
      </w:r>
    </w:p>
    <w:p w:rsidR="00000000" w:rsidDel="00000000" w:rsidP="00000000" w:rsidRDefault="00000000" w:rsidRPr="00000000" w14:paraId="00000018">
      <w:pPr>
        <w:widowControl w:val="1"/>
        <w:spacing w:line="276" w:lineRule="auto"/>
        <w:rPr>
          <w:sz w:val="20"/>
          <w:szCs w:val="20"/>
        </w:rPr>
      </w:pPr>
      <w:r w:rsidDel="00000000" w:rsidR="00000000" w:rsidRPr="00000000">
        <w:rPr>
          <w:sz w:val="20"/>
          <w:szCs w:val="20"/>
          <w:rtl w:val="0"/>
        </w:rPr>
        <w:t xml:space="preserve">Uniwersytet SWPS należy do sojuszu European Reform University Alliance (ERUA). Jest to sojusz uczelni zawarty w ramach Inicjatywy Uniwersytetów Europejskich, powołanej i finansowanej przez Komisję Europejską.</w:t>
      </w:r>
    </w:p>
    <w:sectPr>
      <w:headerReference r:id="rId7" w:type="default"/>
      <w:headerReference r:id="rId8" w:type="first"/>
      <w:headerReference r:id="rId9" w:type="even"/>
      <w:footerReference r:id="rId10" w:type="default"/>
      <w:pgSz w:h="16840" w:w="11910" w:orient="portrait"/>
      <w:pgMar w:bottom="2835" w:top="0" w:left="1701" w:right="1701" w:header="3685" w:footer="170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llura">
    <w:embedRegular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-14283</wp:posOffset>
              </wp:positionH>
              <wp:positionV relativeFrom="paragraph">
                <wp:posOffset>9561513</wp:posOffset>
              </wp:positionV>
              <wp:extent cx="3590160" cy="446280"/>
              <wp:effectExtent b="0" l="0" r="0" t="0"/>
              <wp:wrapNone/>
              <wp:docPr id="1" name=""/>
              <a:graphic>
                <a:graphicData uri="http://schemas.microsoft.com/office/word/2010/wordprocessingShape">
                  <wps:wsp>
                    <wps:cNvSpPr/>
                    <wps:cNvPr id="2" name="Shape 2"/>
                    <wps:spPr>
                      <a:xfrm>
                        <a:off x="3589020" y="3594960"/>
                        <a:ext cx="3513960" cy="370080"/>
                      </a:xfrm>
                      <a:prstGeom prst="rect">
                        <a:avLst/>
                      </a:prstGeom>
                      <a:noFill/>
                      <a:ln>
                        <a:noFill/>
                      </a:ln>
                    </wps:spPr>
                    <wps:txbx>
                      <w:txbxContent>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14"/>
                              <w:vertAlign w:val="baseline"/>
                            </w:rPr>
                            <w:t xml:space="preserve">Uniwersytet SWPS</w:t>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14"/>
                              <w:vertAlign w:val="baseline"/>
                            </w:rPr>
                          </w:r>
                          <w:r w:rsidDel="00000000" w:rsidR="00000000" w:rsidRPr="00000000">
                            <w:rPr>
                              <w:rFonts w:ascii="Montserrat" w:cs="Montserrat" w:eastAsia="Montserrat" w:hAnsi="Montserrat"/>
                              <w:b w:val="0"/>
                              <w:i w:val="0"/>
                              <w:smallCaps w:val="0"/>
                              <w:strike w:val="0"/>
                              <w:color w:val="000000"/>
                              <w:sz w:val="14"/>
                              <w:vertAlign w:val="baseline"/>
                            </w:rPr>
                            <w:t xml:space="preserve">ul. Chodakowska 19/31, 03-815 Warszawa</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-14283</wp:posOffset>
              </wp:positionH>
              <wp:positionV relativeFrom="paragraph">
                <wp:posOffset>9561513</wp:posOffset>
              </wp:positionV>
              <wp:extent cx="3590160" cy="446280"/>
              <wp:effectExtent b="0" l="0" r="0" t="0"/>
              <wp:wrapNone/>
              <wp:docPr id="1"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3590160" cy="44628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-915981</wp:posOffset>
              </wp:positionH>
              <wp:positionV relativeFrom="paragraph">
                <wp:posOffset>9815513</wp:posOffset>
              </wp:positionV>
              <wp:extent cx="978000" cy="195720"/>
              <wp:effectExtent b="0" l="0" r="0" t="0"/>
              <wp:wrapNone/>
              <wp:docPr id="2" name=""/>
              <a:graphic>
                <a:graphicData uri="http://schemas.microsoft.com/office/word/2010/wordprocessingShape">
                  <wps:wsp>
                    <wps:cNvSpPr/>
                    <wps:cNvPr id="3" name="Shape 3"/>
                    <wps:spPr>
                      <a:xfrm>
                        <a:off x="4895100" y="3720240"/>
                        <a:ext cx="901800" cy="119520"/>
                      </a:xfrm>
                      <a:prstGeom prst="rect">
                        <a:avLst/>
                      </a:prstGeom>
                      <a:noFill/>
                      <a:ln>
                        <a:noFill/>
                      </a:ln>
                    </wps:spPr>
                    <wps:txbx>
                      <w:txbxContent>
                        <w:p w:rsidR="00000000" w:rsidDel="00000000" w:rsidP="00000000" w:rsidRDefault="00000000" w:rsidRPr="00000000">
                          <w:pPr>
                            <w:spacing w:after="0" w:before="20" w:line="240"/>
                            <w:ind w:left="20" w:right="0" w:firstLine="160"/>
                            <w:jc w:val="right"/>
                            <w:textDirection w:val="btLr"/>
                          </w:pPr>
                          <w:r w:rsidDel="00000000" w:rsidR="00000000" w:rsidRPr="00000000">
                            <w:rPr>
                              <w:rFonts w:ascii="Montserrat" w:cs="Montserrat" w:eastAsia="Montserrat" w:hAnsi="Montserrat"/>
                              <w:b w:val="1"/>
                              <w:i w:val="0"/>
                              <w:smallCaps w:val="0"/>
                              <w:strike w:val="0"/>
                              <w:color w:val="000000"/>
                              <w:sz w:val="14"/>
                              <w:vertAlign w:val="baseline"/>
                            </w:rPr>
                            <w:t xml:space="preserve">www.swps.pl</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-915981</wp:posOffset>
              </wp:positionH>
              <wp:positionV relativeFrom="paragraph">
                <wp:posOffset>9815513</wp:posOffset>
              </wp:positionV>
              <wp:extent cx="978000" cy="195720"/>
              <wp:effectExtent b="0" l="0" r="0" t="0"/>
              <wp:wrapNone/>
              <wp:docPr id="2"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978000" cy="19572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bCs w:val="0"/>
        <w:i w:val="0"/>
        <w:iCs w:val="0"/>
        <w:smallCaps w:val="0"/>
        <w:strike w:val="0"/>
        <w:color w:val="000000"/>
        <w:sz w:val="22"/>
        <w:szCs w:val="22"/>
        <w:u w:val="none"/>
        <w:shd w:fill="auto" w:val="clear"/>
        <w:vertAlign w:val="baseline"/>
      </w:rPr>
      <w:drawing>
        <wp:anchor allowOverlap="1" behindDoc="1" distB="0" distT="0" distL="0" distR="0" hidden="0" layoutInCell="1" locked="0" relativeHeight="0" simplePos="0">
          <wp:simplePos x="0" y="0"/>
          <wp:positionH relativeFrom="page">
            <wp:align>center</wp:align>
          </wp:positionH>
          <wp:positionV relativeFrom="page">
            <wp:align>center</wp:align>
          </wp:positionV>
          <wp:extent cx="7556760" cy="10692000"/>
          <wp:effectExtent b="0" l="0" r="0" t="0"/>
          <wp:wrapNone/>
          <wp:docPr id="3"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556760" cy="10692000"/>
                  </a:xfrm>
                  <a:prstGeom prst="rect"/>
                  <a:ln/>
                </pic:spPr>
              </pic:pic>
            </a:graphicData>
          </a:graphic>
        </wp:anchor>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bCs w:val="0"/>
        <w:i w:val="0"/>
        <w:iCs w:val="0"/>
        <w:smallCaps w:val="0"/>
        <w:strike w:val="0"/>
        <w:color w:val="000000"/>
        <w:sz w:val="22"/>
        <w:szCs w:val="22"/>
        <w:u w:val="none"/>
        <w:shd w:fill="auto" w:val="clear"/>
        <w:vertAlign w:val="baseline"/>
      </w:rPr>
      <w:pict>
        <v:shape id="WordPictureWatermark2" style="position:absolute;width:441.9pt;height:625.15pt;rotation:0;z-index:-503316481;mso-position-horizontal-relative:margin;mso-position-horizontal:center;mso-position-vertical-relative:margin;mso-position-vertical:center;" alt="" type="#_x0000_t75">
          <v:imagedata cropbottom="0f" cropleft="0f" cropright="0f" croptop="0f" r:id="rId1" o:title="image2.jpg"/>
        </v:shape>
      </w:pic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bCs w:val="0"/>
        <w:i w:val="0"/>
        <w:iCs w:val="0"/>
        <w:smallCaps w:val="0"/>
        <w:strike w:val="0"/>
        <w:color w:val="000000"/>
        <w:sz w:val="22"/>
        <w:szCs w:val="22"/>
        <w:u w:val="none"/>
        <w:shd w:fill="auto" w:val="clear"/>
        <w:vertAlign w:val="baseline"/>
      </w:rPr>
      <w:pict>
        <v:shape id="WordPictureWatermark1" style="position:absolute;width:441.9pt;height:625.15pt;rotation:0;z-index:-503316481;mso-position-horizontal-relative:margin;mso-position-horizontal:center;mso-position-vertical-relative:margin;mso-position-vertical:center;" alt="" type="#_x0000_t75">
          <v:imagedata cropbottom="0f" cropleft="0f" cropright="0f" croptop="0f" r:id="rId1" o:title="image2.jpg"/>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ontserrat" w:cs="Montserrat" w:eastAsia="Montserrat" w:hAnsi="Montserrat"/>
        <w:sz w:val="22"/>
        <w:szCs w:val="22"/>
        <w:lang w:val="en"/>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Montserrat" w:cs="Montserrat" w:eastAsia="Montserrat" w:hAnsi="Montserrat"/>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Montserrat" w:cs="Montserrat" w:eastAsia="Montserrat" w:hAnsi="Montserrat"/>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Montserrat" w:cs="Montserrat" w:eastAsia="Montserrat" w:hAnsi="Montserrat"/>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Montserrat" w:cs="Montserrat" w:eastAsia="Montserrat" w:hAnsi="Montserrat"/>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Montserrat" w:cs="Montserrat" w:eastAsia="Montserrat" w:hAnsi="Montserrat"/>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Montserrat" w:cs="Montserrat" w:eastAsia="Montserrat" w:hAnsi="Montserrat"/>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spacing w:before="25" w:lineRule="auto"/>
      <w:ind w:left="20"/>
    </w:pPr>
    <w:rPr>
      <w:rFonts w:ascii="Allura" w:cs="Allura" w:eastAsia="Allura" w:hAnsi="Allura"/>
      <w:sz w:val="59"/>
      <w:szCs w:val="59"/>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 Id="rId5" Type="http://schemas.openxmlformats.org/officeDocument/2006/relationships/font" Target="fonts/Allura-regular.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bSoU3xzdEdMbcqxoa8Xmn+41WA==">CgMxLjA4AGokChRzdWdnZXN0LnJmNWtqdHZuN3hjbRIMQmVhdGEgU3phdWVyaiQKFHN1Z2dlc3QuZ3A5b2h6OXpwdXQxEgxCZWF0YSBTemF1ZXJqLQoUc3VnZ2VzdC5iZ3MzM2QzejdsemYSFU1hcnRhIERhbm93c2thLUtpc2llbGokChRzdWdnZXN0Ljd0d2xrOWlhb2gxbBIMQmVhdGEgU3phdWVyai0KFHN1Z2dlc3QuMm4zOWFyYXZ5aHV0EhVNYXJ0YSBEYW5vd3NrYS1LaXNpZWxyITFqaW4zdVFCeldJMG13NXpFaHBvOWxSMHFYTlpERUJ6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LastSaved">
    <vt:lpwstr>2021-08-23T00:00:00Z</vt:lpwstr>
  </property>
  <property fmtid="{D5CDD505-2E9C-101B-9397-08002B2CF9AE}" pid="3" name="Creator">
    <vt:lpwstr>Adobe Illustrator 25.0 (Macintosh)</vt:lpwstr>
  </property>
  <property fmtid="{D5CDD505-2E9C-101B-9397-08002B2CF9AE}" pid="4" name="Created">
    <vt:lpwstr>2021-08-23T00:00:00Z</vt:lpwstr>
  </property>
</Properties>
</file>