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AB32B55" w14:textId="6F3CE04B" w:rsidR="001169FC" w:rsidRPr="001169FC" w:rsidRDefault="006D286F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1169FC">
        <w:rPr>
          <w:rFonts w:ascii="Arial" w:hAnsi="Arial"/>
          <w:sz w:val="22"/>
          <w:szCs w:val="22"/>
        </w:rPr>
        <w:t xml:space="preserve">Kinga </w:t>
      </w:r>
      <w:proofErr w:type="spellStart"/>
      <w:r w:rsidR="001169FC">
        <w:rPr>
          <w:rFonts w:ascii="Arial" w:hAnsi="Arial"/>
          <w:sz w:val="22"/>
          <w:szCs w:val="22"/>
        </w:rPr>
        <w:t>Blaschke</w:t>
      </w:r>
      <w:proofErr w:type="spellEnd"/>
      <w:r w:rsidR="001169FC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1169FC" w:rsidRPr="001169FC">
        <w:rPr>
          <w:rFonts w:cs="Calibri"/>
          <w:b w:val="0"/>
          <w:bCs w:val="0"/>
          <w:sz w:val="22"/>
          <w:szCs w:val="22"/>
        </w:rPr>
        <w:t>Naukowo interesuje się historią i teorią sztuki oraz projektowania graficznego; propagandą i manipulacją w sztuce oraz historii sztuki, zwłaszcza w okresie PRL; mitami w historii sztuki, a także socjologią sztuki i projektowania. Bada, w jaki sposób kwestie społeczne znajdują swoje odbicie w sztukach wizualnych.</w:t>
      </w:r>
    </w:p>
    <w:p w14:paraId="26923A37" w14:textId="77777777" w:rsidR="001169FC" w:rsidRPr="001169FC" w:rsidRDefault="001169FC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52D01DC1" w14:textId="77777777" w:rsidR="001169FC" w:rsidRPr="001169FC" w:rsidRDefault="001169FC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169FC">
        <w:rPr>
          <w:rFonts w:cs="Calibri"/>
          <w:b w:val="0"/>
          <w:bCs w:val="0"/>
          <w:sz w:val="22"/>
          <w:szCs w:val="22"/>
        </w:rPr>
        <w:t xml:space="preserve">Członkini Stowarzyszenia Historyków Sztuki. W latach 2005-2007 była stypendystką Ministerstwa Nauki i Szkolnictwa Wyższego za wybitne osiągnięcia w nauce. </w:t>
      </w:r>
      <w:r w:rsidRPr="001169FC">
        <w:rPr>
          <w:rFonts w:cs="Calibri"/>
          <w:b w:val="0"/>
          <w:bCs w:val="0"/>
          <w:sz w:val="22"/>
          <w:szCs w:val="22"/>
          <w:lang w:val="en-US"/>
        </w:rPr>
        <w:t xml:space="preserve">W 2011 r. </w:t>
      </w:r>
      <w:proofErr w:type="spellStart"/>
      <w:r w:rsidRPr="001169FC">
        <w:rPr>
          <w:rFonts w:cs="Calibri"/>
          <w:b w:val="0"/>
          <w:bCs w:val="0"/>
          <w:sz w:val="22"/>
          <w:szCs w:val="22"/>
          <w:lang w:val="en-US"/>
        </w:rPr>
        <w:t>otrzymała</w:t>
      </w:r>
      <w:proofErr w:type="spellEnd"/>
      <w:r w:rsidRPr="001169FC">
        <w:rPr>
          <w:rFonts w:cs="Calibri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1169FC">
        <w:rPr>
          <w:rFonts w:cs="Calibri"/>
          <w:b w:val="0"/>
          <w:bCs w:val="0"/>
          <w:sz w:val="22"/>
          <w:szCs w:val="22"/>
          <w:lang w:val="en-US"/>
        </w:rPr>
        <w:t>stypendium</w:t>
      </w:r>
      <w:proofErr w:type="spellEnd"/>
      <w:r w:rsidRPr="001169FC">
        <w:rPr>
          <w:rFonts w:cs="Calibri"/>
          <w:b w:val="0"/>
          <w:bCs w:val="0"/>
          <w:sz w:val="22"/>
          <w:szCs w:val="22"/>
          <w:lang w:val="en-US"/>
        </w:rPr>
        <w:t xml:space="preserve"> The Robert Anderson Research Charitable Trust w </w:t>
      </w:r>
      <w:proofErr w:type="spellStart"/>
      <w:r w:rsidRPr="001169FC">
        <w:rPr>
          <w:rFonts w:cs="Calibri"/>
          <w:b w:val="0"/>
          <w:bCs w:val="0"/>
          <w:sz w:val="22"/>
          <w:szCs w:val="22"/>
          <w:lang w:val="en-US"/>
        </w:rPr>
        <w:t>Londynie</w:t>
      </w:r>
      <w:proofErr w:type="spellEnd"/>
      <w:r w:rsidRPr="001169FC">
        <w:rPr>
          <w:rFonts w:cs="Calibri"/>
          <w:b w:val="0"/>
          <w:bCs w:val="0"/>
          <w:sz w:val="22"/>
          <w:szCs w:val="22"/>
          <w:lang w:val="en-US"/>
        </w:rPr>
        <w:t xml:space="preserve">. </w:t>
      </w:r>
      <w:r w:rsidRPr="001169FC">
        <w:rPr>
          <w:rFonts w:cs="Calibri"/>
          <w:b w:val="0"/>
          <w:bCs w:val="0"/>
          <w:sz w:val="22"/>
          <w:szCs w:val="22"/>
        </w:rPr>
        <w:t>Jest również laureatką stypendium twórczego Ministra Kultury i Dziedzictwa Narodowego (2016).</w:t>
      </w:r>
    </w:p>
    <w:p w14:paraId="151263C9" w14:textId="77777777" w:rsidR="001169FC" w:rsidRPr="001169FC" w:rsidRDefault="001169FC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7D8AD45B" w14:textId="77777777" w:rsidR="001169FC" w:rsidRPr="001169FC" w:rsidRDefault="001169FC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169FC">
        <w:rPr>
          <w:rFonts w:cs="Calibri"/>
          <w:b w:val="0"/>
          <w:bCs w:val="0"/>
          <w:sz w:val="22"/>
          <w:szCs w:val="22"/>
        </w:rPr>
        <w:t xml:space="preserve">W 2012 r. otrzymała nagrodę im. ks. Szczęsnego </w:t>
      </w:r>
      <w:proofErr w:type="spellStart"/>
      <w:r w:rsidRPr="001169FC">
        <w:rPr>
          <w:rFonts w:cs="Calibri"/>
          <w:b w:val="0"/>
          <w:bCs w:val="0"/>
          <w:sz w:val="22"/>
          <w:szCs w:val="22"/>
        </w:rPr>
        <w:t>Dettloffa</w:t>
      </w:r>
      <w:proofErr w:type="spellEnd"/>
      <w:r w:rsidRPr="001169FC">
        <w:rPr>
          <w:rFonts w:cs="Calibri"/>
          <w:b w:val="0"/>
          <w:bCs w:val="0"/>
          <w:sz w:val="22"/>
          <w:szCs w:val="22"/>
        </w:rPr>
        <w:t xml:space="preserve"> (przyznawaną przez Stowarzyszenie Historyków Sztuki) za książkę „Nasze własne, nasze polskie... Mit renesansu lubelskiego w polskiej historii sztuki” (wyd. 2010). Jest również </w:t>
      </w:r>
      <w:proofErr w:type="spellStart"/>
      <w:r w:rsidRPr="001169FC">
        <w:rPr>
          <w:rFonts w:cs="Calibri"/>
          <w:b w:val="0"/>
          <w:bCs w:val="0"/>
          <w:sz w:val="22"/>
          <w:szCs w:val="22"/>
        </w:rPr>
        <w:t>autrorką</w:t>
      </w:r>
      <w:proofErr w:type="spellEnd"/>
      <w:r w:rsidRPr="001169FC">
        <w:rPr>
          <w:rFonts w:cs="Calibri"/>
          <w:b w:val="0"/>
          <w:bCs w:val="0"/>
          <w:sz w:val="22"/>
          <w:szCs w:val="22"/>
        </w:rPr>
        <w:t xml:space="preserve"> publikacji „Inwencja i repetycja. Powtarzalność planów i projekty typowe w architekturze sakralnej Rusi Koronnej od XV do XX wieku” (2010).</w:t>
      </w:r>
    </w:p>
    <w:p w14:paraId="5201AC0E" w14:textId="77777777" w:rsidR="001169FC" w:rsidRPr="001169FC" w:rsidRDefault="001169FC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25327ED0" w:rsidR="00590F5A" w:rsidRPr="001169FC" w:rsidRDefault="001169FC" w:rsidP="001169FC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1169FC">
        <w:rPr>
          <w:rFonts w:cs="Calibri"/>
          <w:b w:val="0"/>
          <w:bCs w:val="0"/>
          <w:sz w:val="22"/>
          <w:szCs w:val="22"/>
        </w:rPr>
        <w:t>Na Uniwersytecie SWPS prowadzi zajęcia z historii sztuki, socjologii sztuki i projektowania oraz historii projektowania graficznego.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8363D" w14:textId="77777777" w:rsidR="00A87076" w:rsidRDefault="00A87076">
      <w:r>
        <w:separator/>
      </w:r>
    </w:p>
  </w:endnote>
  <w:endnote w:type="continuationSeparator" w:id="0">
    <w:p w14:paraId="6FC18D4D" w14:textId="77777777" w:rsidR="00A87076" w:rsidRDefault="00A8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B1A8F" w14:textId="77777777" w:rsidR="00A87076" w:rsidRDefault="00A87076">
      <w:r>
        <w:separator/>
      </w:r>
    </w:p>
  </w:footnote>
  <w:footnote w:type="continuationSeparator" w:id="0">
    <w:p w14:paraId="54361A48" w14:textId="77777777" w:rsidR="00A87076" w:rsidRDefault="00A87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1169FC"/>
    <w:rsid w:val="0026463F"/>
    <w:rsid w:val="0035461E"/>
    <w:rsid w:val="00590F5A"/>
    <w:rsid w:val="006D286F"/>
    <w:rsid w:val="00A87076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2024-08-23T13:45:00Z</dcterms:created>
  <dcterms:modified xsi:type="dcterms:W3CDTF">2024-08-23T13:45:00Z</dcterms:modified>
</cp:coreProperties>
</file>