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4531"/>
        <w:gridCol w:w="2694"/>
        <w:gridCol w:w="2420"/>
        <w:tblGridChange w:id="0">
          <w:tblGrid>
            <w:gridCol w:w="4531"/>
            <w:gridCol w:w="2694"/>
            <w:gridCol w:w="2420"/>
          </w:tblGrid>
        </w:tblGridChange>
      </w:tblGrid>
      <w:tr>
        <w:trPr>
          <w:cantSplit w:val="0"/>
          <w:trHeight w:val="768" w:hRule="atLeast"/>
          <w:tblHeader w:val="0"/>
        </w:trPr>
        <w:tc>
          <w:tcPr>
            <w:gridSpan w:val="3"/>
            <w:shd w:fill="4bacc6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APPLICATION OF A POTENTIAL SUPERVISOR in the recruitment process of doctoral students and participants and/or TUTOR/SCIENTIFIC TUTOR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of the extramural/external mode (“mode E”) at SWPS University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Name and surname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of the supervisor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ind w:left="160" w:right="170" w:firstLine="0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Dr. Katarzyna Growiec, associate professor at SWPS University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Name of the research center/research group/artistic group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to which the supervisor belongs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ind w:left="160" w:right="170" w:firstLine="0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Health &amp; Coping Research Group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List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of the most important scientific publications, completed and ongoing research grants; link to ORCID and/or to the ResearchGate / Academia.edu profile (or other website presenting scientific/artistic achievements)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ind w:left="160" w:right="17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60" w:lineRule="auto"/>
              <w:ind w:right="170"/>
              <w:rPr>
                <w:b w:val="1"/>
                <w:bCs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Scientific publications: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ind w:right="17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Eriksson, K., Strimling, P., Vartanova, I. </w:t>
            </w:r>
            <w:r w:rsidDel="00000000" w:rsidR="00000000" w:rsidRPr="00000000">
              <w:rPr>
                <w:i w:val="1"/>
                <w:iCs w:val="1"/>
                <w:color w:val="222222"/>
                <w:sz w:val="18"/>
                <w:szCs w:val="18"/>
                <w:highlight w:val="white"/>
                <w:rtl w:val="0"/>
              </w:rPr>
              <w:t xml:space="preserve">et al.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 Everyday norms have become more permissive over time and vary across cultures. </w:t>
            </w:r>
            <w:r w:rsidDel="00000000" w:rsidR="00000000" w:rsidRPr="00000000">
              <w:rPr>
                <w:i w:val="1"/>
                <w:iCs w:val="1"/>
                <w:color w:val="222222"/>
                <w:sz w:val="18"/>
                <w:szCs w:val="18"/>
                <w:highlight w:val="white"/>
                <w:rtl w:val="0"/>
              </w:rPr>
              <w:t xml:space="preserve">Communications Psychology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, 145 (2025).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highlight w:val="white"/>
                  <w:u w:val="single"/>
                  <w:rtl w:val="0"/>
                </w:rPr>
                <w:t xml:space="preserve">https://doi.org/10.1038/s44271-025-00324-4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Liu, Y., Stivers, A. W., Murphy, R. O., Van Doesum, N. J., Joireman, J., Gallucci, M., Aharonov-Majar, E., Athenstaedt, U., Bai, L., Böhm, R., Buchan, N. R., Chen, X.-P., Dumont, K. B., Engelmann, J. B., Eriksson, K., Euh, H., Fiedler, S., Friesen, J., Gächter, S., … Van Lange, P. A. M. (2024). Wherefore art thou competitors? How situational affordances help differentiate among prosociality, individualism, and competition.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European Journal of Personality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0(0).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https://doi.org/10.1177/08902070241298850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ind w:right="17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right="17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Growiec, K., Czupryna, M., J. Growiec (2024). “Values and economic performance across European welfare state regimes: Direct and indirect effects through social capital, human capital and managerial skills”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PLoS ONE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19(2): e0298667.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ind w:left="160" w:right="170" w:firstLine="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Growiec, K. (2023). „Social Networks Dynamics in the Context of Age: an Empirical Investigation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” </w:t>
            </w:r>
            <w:r w:rsidDel="00000000" w:rsidR="00000000" w:rsidRPr="00000000">
              <w:rPr>
                <w:color w:val="000000"/>
                <w:sz w:val="18"/>
                <w:szCs w:val="18"/>
                <w:u w:val="single"/>
                <w:rtl w:val="0"/>
              </w:rPr>
              <w:t xml:space="preserve">Social Indicators Research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vol. 170: 675-711.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Andrighetto, G., Szekely, A., Guido, A. </w:t>
            </w:r>
            <w:r w:rsidDel="00000000" w:rsidR="00000000" w:rsidRPr="00000000">
              <w:rPr>
                <w:i w:val="1"/>
                <w:iCs w:val="1"/>
                <w:color w:val="222222"/>
                <w:sz w:val="18"/>
                <w:szCs w:val="18"/>
                <w:highlight w:val="white"/>
                <w:rtl w:val="0"/>
              </w:rPr>
              <w:t xml:space="preserve">et al.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 Changes in social norms during the early stages of the COVID-19 pandemic across 43 countries. </w:t>
            </w:r>
            <w:r w:rsidDel="00000000" w:rsidR="00000000" w:rsidRPr="00000000">
              <w:rPr>
                <w:i w:val="1"/>
                <w:iCs w:val="1"/>
                <w:color w:val="222222"/>
                <w:sz w:val="18"/>
                <w:szCs w:val="18"/>
                <w:highlight w:val="white"/>
                <w:rtl w:val="0"/>
              </w:rPr>
              <w:t xml:space="preserve">Nature  Communications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, 1436 (2024). https://doi.org/10.1038/s41467-024-44999-5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Growiec, K., Growiec, J., &amp; Kamiński, B. (2022). „It Matters Whom You Know: Mapping the Links Between Social Capital, Trust and Willingness to Cooperate”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Studia Socjologiczne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vol. 2 (245): 59-83.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Eriksson, K., Strimling, P., Gelfand, M. </w:t>
            </w:r>
            <w:r w:rsidDel="00000000" w:rsidR="00000000" w:rsidRPr="00000000">
              <w:rPr>
                <w:i w:val="1"/>
                <w:iCs w:val="1"/>
                <w:color w:val="222222"/>
                <w:sz w:val="18"/>
                <w:szCs w:val="18"/>
                <w:highlight w:val="white"/>
                <w:rtl w:val="0"/>
              </w:rPr>
              <w:t xml:space="preserve">et al.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 Perceptions of the appropriate response to norm violation in 57 societies. </w:t>
            </w:r>
            <w:r w:rsidDel="00000000" w:rsidR="00000000" w:rsidRPr="00000000">
              <w:rPr>
                <w:i w:val="1"/>
                <w:iCs w:val="1"/>
                <w:color w:val="222222"/>
                <w:sz w:val="18"/>
                <w:szCs w:val="18"/>
                <w:highlight w:val="white"/>
                <w:rtl w:val="0"/>
              </w:rPr>
              <w:t xml:space="preserve">Nature Communications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, 1481 (2021). https://doi.org/10.1038/s41467-021-21602-9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Growiec, K., Growiec, J., &amp; Kamiński, B. (2020). "Emergence of Small-World Networks in an Overlapping-Generations Model of Social Dynamics, Trust and Economic Performance" </w:t>
            </w:r>
            <w:r w:rsidDel="00000000" w:rsidR="00000000" w:rsidRPr="00000000">
              <w:rPr>
                <w:color w:val="000000"/>
                <w:sz w:val="18"/>
                <w:szCs w:val="18"/>
                <w:u w:val="single"/>
                <w:rtl w:val="0"/>
              </w:rPr>
              <w:t xml:space="preserve">JASSS - Journal of Artificial Societies and Social Simulation, 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23(2), Article 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Growiec, K., Growiec, J. &amp; Kamiński, B. (2018), “Social network structure and the trade-off between social utility and economic performance”,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Social Networks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vol. 55: 31-46.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Growiec, K., Growiec, J. (2016). “Bridging Social Capital and Individual Earnings: Evidence for an Inverted U”.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Social Indicators Research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vol. 127: 601-631.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Growiec, K., Growiec, K.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(2014), “Trusting Only Whom You Know, Knowing Only Whom You Trust: The Joint Impact of Social Capital and Trust on Happiness in CEE Countries”,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Journal of Happiness Studies,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vol. 15, issue 5: 1015-1040.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ind w:left="160" w:right="170" w:firstLine="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ind w:left="160" w:right="170" w:firstLine="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ind w:right="170"/>
              <w:rPr>
                <w:b w:val="1"/>
                <w:bCs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Research grants: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ind w:right="17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360" w:lineRule="auto"/>
              <w:ind w:right="17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Project: LONELY-EU, funded by The European Comission. Duration: 01 February 2025 – 31 January 2027. Role: Work Package Leader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“Need for Cognitive Closure, Self-esteem, Agency, and Communality in Participation in Social Networks”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funded by the National Science Centre (NCN), Duration: 02 July 2020 – 01 July 2025. Role: Principal Investigator.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“Values and Economic Performance: A Formalised Agent-Based Model”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funded by DFG (Deutsche Forschungsgemeinschaft) and the National Science Centre (NCN) (Beethoven Classic 3 – Polish-German Funding Initiative). Duration: 01 April 2019 – 31 March 2024. Role: Lead Researcher.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“Social Network Structure and Propensity to Cooperate and Individual Income: A Simulation Model and Empirical Results”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funded by the National Science Centre (NCN). Duration: 2014–2017. Role: Lead Researcher.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“Beyond ‘Old’ and ‘New’ Media – Communication Competencies of Poles”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Fundacja Projekt: Polska, funded by the Ministry of Culture and National Heritage. Duration: 2012–2013.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Individual project: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“Social Capital, Social Trust and the Economic Crisis – The Case of Iceland”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funded by EEA &amp; Norway Grants. Project location: University of Iceland, Reykjavik, Iceland. Duration: 10 March 2010 – 30 June 2010. Role: Principal Investigator. Active participation in 100% of the project tasks.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“The Impact of Social Capital on Central and Eastern European Countries’ Economic Performance: Similarities and Differences”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funded by the Global Development Network (Regional Research Competition 2009). Project leader. Duration: January 2009 – June 2010. Role: Principal Investigator. Active participation in 50% of the project tasks.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ind w:right="170"/>
              <w:rPr>
                <w:b w:val="1"/>
                <w:bCs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Important links: 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ind w:left="160" w:right="170" w:firstLine="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360" w:lineRule="auto"/>
              <w:ind w:left="160" w:right="170" w:firstLine="0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https: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//</w:t>
            </w:r>
            <w:hyperlink r:id="rId9">
              <w:r w:rsidDel="00000000" w:rsidR="00000000" w:rsidRPr="00000000">
                <w:rPr>
                  <w:color w:val="1155cc"/>
                  <w:sz w:val="18"/>
                  <w:szCs w:val="18"/>
                  <w:highlight w:val="white"/>
                  <w:u w:val="single"/>
                  <w:rtl w:val="0"/>
                </w:rPr>
                <w:t xml:space="preserve">orcid.org/0000-0002-4448-2561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360" w:lineRule="auto"/>
              <w:ind w:left="160" w:right="170" w:firstLine="0"/>
              <w:rPr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https://lonelinessineurope.eu/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360" w:lineRule="auto"/>
              <w:ind w:left="160" w:right="17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https://english.swps.pl/we-the-university/our-news-and-events/awards-and-recognition/34257-dr-katarzyna-growiec-receives-horizon-europe-funding-for-lonely-eu-project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Discipline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psychology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A brief description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Katarzyna Growiec is a social and personality psychologist, specializing in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personality-related determinants of social processes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She conducts research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capital and social trust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exploring how personality traits influence people’s engagement in social networks and their trust in others.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Growiec studies connections between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capital, psychological well-being, and overall welfare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and her work has been published in international journals such 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Journal of Happiness Studies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Indicators Research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European Societies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Journal of Youth Studies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Recently, she has been involved in research on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causes and consequences of loneliness and social isolation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including her leadership role in the EU-funded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LONELY-EU project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which aims to assess the economic costs of social isolation and loneliness across Europe.</w:t>
            </w:r>
          </w:p>
          <w:p w:rsidR="00000000" w:rsidDel="00000000" w:rsidP="00000000" w:rsidRDefault="00000000" w:rsidRPr="00000000" w14:paraId="0000003F">
            <w:pPr>
              <w:ind w:left="169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Thematic areas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of planned doctoral dissertations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0" w:right="17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Social capital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0" w:right="17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Social network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0" w:right="17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Social trust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0" w:right="17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Loneliness and social isolation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7">
            <w:pPr>
              <w:ind w:left="164" w:right="174" w:firstLine="0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Number of people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that the supervisor / scientific supervisor would be able to accept as a result of recruitment in the academic year 2026/2027: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to the Doctoral School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(doctoral scholarship financed by SWPS University)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Number: 1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for national and international research projects or grants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(doctoral scholarship financed from grant funds)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Number: 0</w:t>
              <w:br w:type="textWrapping"/>
              <w:t xml:space="preserve">Project name: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160" w:right="3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to the Industrial Doctorate program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(doctoral scholarship financed by the Ministry of Science and Higher Education)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Number: 0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for external mode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(no doctoral scholarship)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Number: 0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ind w:left="164" w:right="170" w:firstLine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Number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of currently conducted doctorates: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in Doctoral School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Number: 0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ind w:left="171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in external mode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Number: 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left="164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The number of doctoral students promoted so far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, along with the year of completing their doctoral degrees: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3"/>
            <w:shd w:fill="4bacc6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RECRUITMENT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Candidates should contact their selected potential supervisors who are members of centers 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and/or research teams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Conditions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to be met by the candidate in the field of: scientific interests; scientific competences; achievements to date; knowledge of foreign languages; social competences; availability, etc.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candidate is expected to demonstrate a clear and genuine interest in their scientific discipline, with a solid foundation in relevant theories and research methods. Prior academic achievements, such as publications, conference participation, or research projects, will be highly valued.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Proficiency in English is necessary for effective communication within the international academic community, as well as for accessing up-to-date scientific literature.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Strong interpersonal skills and the ability to collaborate constructively with supervisors, peers, and interdisciplinary teams are essential, reflecting the collaborative and supportive environment of SWPS Doctoral School.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Finally, the candidate should be fully available and committed to pursuing their doctoral research with dedication and discipline, meeting the requirements and timelines set by the Doctoral School.</w:t>
            </w:r>
          </w:p>
          <w:p w:rsidR="00000000" w:rsidDel="00000000" w:rsidP="00000000" w:rsidRDefault="00000000" w:rsidRPr="00000000" w14:paraId="0000006A">
            <w:pPr>
              <w:ind w:left="169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Preferences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regarding contact with the candidate during recruitment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D">
            <w:pPr>
              <w:ind w:left="169" w:right="170" w:firstLine="0"/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</w:rPr>
            </w:pPr>
            <w:sdt>
              <w:sdtPr>
                <w:id w:val="-212186100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☐X </w:t>
                </w:r>
              </w:sdtContent>
            </w:sdt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E-mail contact: please provide e-mail address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  <w:rtl w:val="0"/>
              </w:rPr>
              <w:t xml:space="preserve">: kgrowiec@swps.edu.pl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169" w:right="170" w:firstLine="0"/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</w:rPr>
            </w:pPr>
            <w:sdt>
              <w:sdtPr>
                <w:id w:val="133418035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Telephone contact: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  <w:rtl w:val="0"/>
              </w:rPr>
              <w:t xml:space="preserve"> please provide phone number: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169" w:right="170" w:firstLine="0"/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</w:rPr>
            </w:pPr>
            <w:sdt>
              <w:sdtPr>
                <w:id w:val="-1538593223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X Personal meetings (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  <w:rtl w:val="0"/>
              </w:rPr>
              <w:t xml:space="preserve">by prior arrangement by e-mail/telephone)</w:t>
            </w:r>
          </w:p>
          <w:p w:rsidR="00000000" w:rsidDel="00000000" w:rsidP="00000000" w:rsidRDefault="00000000" w:rsidRPr="00000000" w14:paraId="00000070">
            <w:pPr>
              <w:ind w:left="169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sdt>
              <w:sdtPr>
                <w:id w:val="31782683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All forms of contact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Preferred dates, times and location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(in the period March-June 2026) in order to conduct an interview with the candidate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ind w:left="169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Any time except for 22-29.03.2026 AND 22-25.06.2026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Information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about possible absence preventing candidates from contacting a potential supervisor (with dates)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ind w:left="169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22-29.03.2026 AND 22-25.06.2026</w:t>
            </w:r>
          </w:p>
        </w:tc>
      </w:tr>
    </w:tbl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first"/>
      <w:footerReference r:id="rId12" w:type="default"/>
      <w:footerReference r:id="rId13" w:type="first"/>
      <w:pgSz w:h="16838" w:w="11906" w:orient="portrait"/>
      <w:pgMar w:bottom="284" w:top="993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Unicode MS"/>
  <w:font w:name="Calibri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b0f0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31849b"/>
        <w:sz w:val="20"/>
        <w:szCs w:val="20"/>
        <w:rtl w:val="0"/>
      </w:rPr>
      <w:t xml:space="preserve">|</w:t>
    </w:r>
    <w:r w:rsidDel="00000000" w:rsidR="00000000" w:rsidRPr="00000000">
      <w:rPr>
        <w:rFonts w:ascii="Calibri" w:cs="Calibri" w:eastAsia="Calibri" w:hAnsi="Calibri"/>
        <w:color w:val="00b0f0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7f7f7f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31849b"/>
        <w:sz w:val="20"/>
        <w:szCs w:val="20"/>
        <w:rtl w:val="0"/>
      </w:rPr>
      <w:t xml:space="preserve">|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7f7f7f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>
        <w:rFonts w:ascii="Calibri" w:cs="Calibri" w:eastAsia="Calibri" w:hAnsi="Calibri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posOffset>454343</wp:posOffset>
              </wp:positionV>
              <wp:extent cx="4067175" cy="744676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17175" y="3412425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Recruitment 2026/2027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Recruitment form – supervisor/scientific supervisor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31849b"/>
                              <w:sz w:val="20"/>
                              <w:u w:val="single"/>
                              <w:vertAlign w:val="baseline"/>
                            </w:rPr>
                            <w:t xml:space="preserve">www.swps.pl</w:t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posOffset>454343</wp:posOffset>
              </wp:positionV>
              <wp:extent cx="4067175" cy="744676"/>
              <wp:effectExtent b="0" l="0" r="0" t="0"/>
              <wp:wrapNone/>
              <wp:docPr id="1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7175" cy="74467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053537" cy="807319"/>
          <wp:effectExtent b="0" l="0" r="0" t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3537" cy="8073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2"/>
      <w:numFmt w:val="bullet"/>
      <w:lvlText w:val="-"/>
      <w:lvlJc w:val="left"/>
      <w:pPr>
        <w:ind w:left="520" w:hanging="360"/>
      </w:pPr>
      <w:rPr>
        <w:rFonts w:ascii="Montserrat" w:cs="Montserrat" w:eastAsia="Montserrat" w:hAnsi="Montserrat"/>
      </w:rPr>
    </w:lvl>
    <w:lvl w:ilvl="1">
      <w:start w:val="1"/>
      <w:numFmt w:val="bullet"/>
      <w:lvlText w:val="o"/>
      <w:lvlJc w:val="left"/>
      <w:pPr>
        <w:ind w:left="1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ipercze">
    <w:name w:val="Hyperlink"/>
    <w:basedOn w:val="Domylnaczcionkaakapitu"/>
    <w:uiPriority w:val="99"/>
    <w:unhideWhenUsed w:val="1"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4462A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 w:val="1"/>
    <w:rsid w:val="004462A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 w:val="1"/>
    <w:rsid w:val="000A0127"/>
    <w:pPr>
      <w:ind w:left="720"/>
      <w:contextualSpacing w:val="1"/>
    </w:pPr>
  </w:style>
  <w:style w:type="table" w:styleId="Siatkatabelijasna">
    <w:name w:val="Grid Table Light"/>
    <w:basedOn w:val="Standardowy"/>
    <w:uiPriority w:val="40"/>
    <w:rsid w:val="00D07805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57915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B57915"/>
    <w:rPr>
      <w:rFonts w:ascii="Segoe UI" w:cs="Segoe UI" w:hAnsi="Segoe UI"/>
      <w:sz w:val="18"/>
      <w:szCs w:val="18"/>
    </w:r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D5242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B8438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 w:val="1"/>
    <w:rsid w:val="00080B74"/>
    <w:pPr>
      <w:spacing w:after="100" w:afterAutospacing="1" w:before="100" w:beforeAutospacing="1"/>
    </w:pPr>
  </w:style>
  <w:style w:type="character" w:styleId="Pogrubienie">
    <w:name w:val="Strong"/>
    <w:basedOn w:val="Domylnaczcionkaakapitu"/>
    <w:uiPriority w:val="22"/>
    <w:qFormat w:val="1"/>
    <w:rsid w:val="00080B74"/>
    <w:rPr>
      <w:b w:val="1"/>
      <w:bCs w:val="1"/>
    </w:rPr>
  </w:style>
  <w:style w:type="character" w:styleId="ms-1" w:customStyle="1">
    <w:name w:val="ms-1"/>
    <w:basedOn w:val="Domylnaczcionkaakapitu"/>
    <w:rsid w:val="00080B74"/>
  </w:style>
  <w:style w:type="character" w:styleId="max-w-15ch" w:customStyle="1">
    <w:name w:val="max-w-[15ch]"/>
    <w:basedOn w:val="Domylnaczcionkaakapitu"/>
    <w:rsid w:val="00080B74"/>
  </w:style>
  <w:style w:type="character" w:styleId="Uwydatnienie">
    <w:name w:val="Emphasis"/>
    <w:basedOn w:val="Domylnaczcionkaakapitu"/>
    <w:uiPriority w:val="20"/>
    <w:qFormat w:val="1"/>
    <w:rsid w:val="00080B74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lonelinessineurope.eu/" TargetMode="Externa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orcid.org/0000-0002-4448-256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038/s44271-025-00324-4" TargetMode="External"/><Relationship Id="rId8" Type="http://schemas.openxmlformats.org/officeDocument/2006/relationships/hyperlink" Target="https://doi.org/10.1177/0890207024129885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6718+oseD81xoKjVb7gW7Z9Kmg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ZmdJdnpla2xDdHNvcWFiQUppYzQ3RmVIVXVHY2Fua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2024-02-09T13:42:00Z</dcterms:created>
  <dc:creator>jersob</dc:creator>
</cp:coreProperties>
</file>