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CD5242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CD5242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02134692" w:rsidR="00537CE9" w:rsidRPr="00CD5242" w:rsidRDefault="00374542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Michal Olszanowski</w:t>
            </w:r>
          </w:p>
        </w:tc>
      </w:tr>
      <w:tr w:rsidR="00537CE9" w:rsidRPr="00CD5242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01F3A9F7" w14:textId="77777777" w:rsidR="00374542" w:rsidRPr="00374542" w:rsidRDefault="00374542" w:rsidP="00374542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Center for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Research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on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Biological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Basis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of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Social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Behavior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,</w:t>
            </w:r>
          </w:p>
          <w:p w14:paraId="48240FB3" w14:textId="6CB5C0C9" w:rsidR="00537CE9" w:rsidRPr="00374542" w:rsidRDefault="00374542" w:rsidP="00374542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Laboratory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of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Peripheral</w:t>
            </w:r>
            <w:proofErr w:type="spellEnd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b/>
                <w:sz w:val="18"/>
                <w:szCs w:val="18"/>
              </w:rPr>
              <w:t>Psychophysiology</w:t>
            </w:r>
            <w:proofErr w:type="spellEnd"/>
          </w:p>
        </w:tc>
      </w:tr>
      <w:tr w:rsidR="00537CE9" w:rsidRPr="00CD5242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270FFF03" w14:textId="090E0327" w:rsidR="00537CE9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Olszanowski, M., Wróbel, M., &amp; Hess, U. (2020).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Mimicking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sharing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emotions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: a re-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examination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of the link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between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facial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mimicry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emotional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contagion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. </w:t>
            </w:r>
            <w:proofErr w:type="spellStart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Cognition</w:t>
            </w:r>
            <w:proofErr w:type="spellEnd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Emotion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, </w:t>
            </w:r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34</w:t>
            </w: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(2), 367-376.</w:t>
            </w:r>
          </w:p>
          <w:p w14:paraId="5811AEA8" w14:textId="77777777" w:rsidR="003745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23BE173A" w14:textId="5DA42D30" w:rsidR="003745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Olszanowski, M., Tołopiło, A., &amp; Hess, U. (2025).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Smile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and the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world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smiles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(and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trusts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) with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you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Happiness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mimicry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shapes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first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impressions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. </w:t>
            </w:r>
            <w:proofErr w:type="spellStart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Emotion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5DC77EB4" w14:textId="77777777" w:rsidR="00F5382C" w:rsidRDefault="00F5382C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4F6A2861" w14:textId="5502B890" w:rsidR="00F5382C" w:rsidRDefault="00F5382C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Olszanowski, M., &amp; Wróbel, M. (2024).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Why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we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mimic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emotions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even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when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no one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is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watching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: Limited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visual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emotional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mimicry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. </w:t>
            </w:r>
            <w:proofErr w:type="spellStart"/>
            <w:r w:rsidRPr="00F5382C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Emotion</w:t>
            </w:r>
            <w:proofErr w:type="spellEnd"/>
            <w:r w:rsidRPr="00F5382C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382C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Review</w:t>
            </w:r>
            <w:proofErr w:type="spellEnd"/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, </w:t>
            </w:r>
            <w:r w:rsidRPr="00F5382C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16</w:t>
            </w:r>
            <w:r w:rsidRPr="00F5382C">
              <w:rPr>
                <w:rFonts w:ascii="Montserrat" w:eastAsia="Calibri" w:hAnsi="Montserrat" w:cs="Calibri"/>
                <w:sz w:val="18"/>
                <w:szCs w:val="18"/>
              </w:rPr>
              <w:t>(1), 16-27.</w:t>
            </w:r>
          </w:p>
          <w:p w14:paraId="77AD9E19" w14:textId="77777777" w:rsidR="003745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72282294" w14:textId="59E73962" w:rsidR="003745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Olszanowski, M</w:t>
            </w:r>
            <w:r w:rsidR="00F5382C">
              <w:rPr>
                <w:rFonts w:ascii="Montserrat" w:eastAsia="Calibri" w:hAnsi="Montserrat" w:cs="Calibri"/>
                <w:sz w:val="18"/>
                <w:szCs w:val="18"/>
              </w:rPr>
              <w:t>., &amp;</w:t>
            </w: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Tołopiło</w:t>
            </w:r>
            <w:r w:rsidR="00F5382C">
              <w:rPr>
                <w:rFonts w:ascii="Montserrat" w:eastAsia="Calibri" w:hAnsi="Montserrat" w:cs="Calibri"/>
                <w:sz w:val="18"/>
                <w:szCs w:val="18"/>
              </w:rPr>
              <w:t>, A</w:t>
            </w: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  <w:r w:rsidR="00F5382C">
              <w:rPr>
                <w:rFonts w:ascii="Montserrat" w:eastAsia="Calibri" w:hAnsi="Montserrat" w:cs="Calibri"/>
                <w:sz w:val="18"/>
                <w:szCs w:val="18"/>
              </w:rPr>
              <w:t xml:space="preserve"> (2024)</w:t>
            </w: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“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Anger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? No,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thank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you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. I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don't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mimic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it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”: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contextual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modulation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facial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display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meaning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impacts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emotional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mimicry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." </w:t>
            </w:r>
            <w:proofErr w:type="spellStart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Cognition</w:t>
            </w:r>
            <w:proofErr w:type="spellEnd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Emotion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 </w:t>
            </w:r>
            <w:r w:rsidRPr="00F5382C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38</w:t>
            </w:r>
            <w:r w:rsidR="00F5382C">
              <w:rPr>
                <w:rFonts w:ascii="Montserrat" w:eastAsia="Calibri" w:hAnsi="Montserrat" w:cs="Calibri"/>
                <w:sz w:val="18"/>
                <w:szCs w:val="18"/>
              </w:rPr>
              <w:t xml:space="preserve">(4), </w:t>
            </w: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530-548.</w:t>
            </w:r>
          </w:p>
          <w:p w14:paraId="20BA8894" w14:textId="77777777" w:rsidR="003745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0571DC49" w14:textId="33B77F12" w:rsidR="003745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Olszanowski, M., Frankowska, N., &amp; Tołopiło, A. (2023). “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Rear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bias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” in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spatial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auditory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perception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Attentional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affective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vigilance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sounds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occurring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outside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visual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 xml:space="preserve"> field. </w:t>
            </w:r>
            <w:proofErr w:type="spellStart"/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Psychophysiology</w:t>
            </w:r>
            <w:proofErr w:type="spellEnd"/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, </w:t>
            </w:r>
            <w:r w:rsidRPr="0037454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60</w:t>
            </w:r>
            <w:r w:rsidRPr="00374542">
              <w:rPr>
                <w:rFonts w:ascii="Montserrat" w:eastAsia="Calibri" w:hAnsi="Montserrat" w:cs="Calibri"/>
                <w:sz w:val="18"/>
                <w:szCs w:val="18"/>
              </w:rPr>
              <w:t>(11), e14377.</w:t>
            </w:r>
          </w:p>
          <w:p w14:paraId="38D1B533" w14:textId="77777777" w:rsidR="00374542" w:rsidRPr="00CD52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1DEE52E5" w:rsidR="00537CE9" w:rsidRPr="00CD52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Psychology</w:t>
            </w:r>
          </w:p>
        </w:tc>
      </w:tr>
      <w:tr w:rsidR="00537CE9" w:rsidRPr="00CD5242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2059F83B" w14:textId="11DD47BA" w:rsidR="00537CE9" w:rsidRPr="00BF1B22" w:rsidRDefault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My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</w:rPr>
              <w:t>research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primarily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investigates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mechanisms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facial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mimicry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its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functional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link to the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process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emotional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c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>ommunication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</w:rPr>
              <w:t>emotional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</w:rPr>
              <w:t>contagion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/synchrony,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</w:rPr>
              <w:t>impresion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</w:rPr>
              <w:t>formation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etc.)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Additionally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>I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examine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contextual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modulation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emotions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specifically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meaning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a display. Beyond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facial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expressions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>I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stud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>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spatial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auditory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perception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focusing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on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humans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maintain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attentional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affective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vigilance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toward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sounds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occurring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outside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visual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field.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Collectively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>my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work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bridges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psychology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psychophysiology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understand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</w:rPr>
              <w:t>humans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process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respond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environmental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cues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</w:tc>
      </w:tr>
      <w:tr w:rsidR="00537CE9" w:rsidRPr="00CD5242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34A66C83" w:rsidR="00537CE9" w:rsidRPr="00CD52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Emotional communication, emotional synchrony 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0CB31541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74542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vAlign w:val="center"/>
          </w:tcPr>
          <w:p w14:paraId="071E28BC" w14:textId="3D1D524B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74542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56315602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74542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21648AAB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74542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1153B353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74542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22C163DE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74542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CD5242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103FEE5B" w14:textId="3DBD6936" w:rsidR="00537CE9" w:rsidRPr="00CD5242" w:rsidRDefault="003745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CD5242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0C926672" w14:textId="60AC3007" w:rsidR="00BF1B22" w:rsidRPr="00BF1B22" w:rsidRDefault="00BF1B22" w:rsidP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Academic</w:t>
            </w:r>
            <w:proofErr w:type="spellEnd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Background</w:t>
            </w:r>
            <w:proofErr w:type="spellEnd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Strong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knowledge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psychology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the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psychology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emotions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6770DC48" w14:textId="3C17C697" w:rsidR="00BF1B22" w:rsidRPr="00BF1B22" w:rsidRDefault="00BF1B22" w:rsidP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Research</w:t>
            </w:r>
            <w:proofErr w:type="spellEnd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Interests</w:t>
            </w:r>
            <w:proofErr w:type="spellEnd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clear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interest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psychophysiological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mechanisms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research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6FBFB130" w14:textId="172C856A" w:rsidR="00BF1B22" w:rsidRPr="00BF1B22" w:rsidRDefault="00BF1B22" w:rsidP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Technical </w:t>
            </w:r>
            <w:proofErr w:type="spellStart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Skills</w:t>
            </w:r>
            <w:proofErr w:type="spellEnd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Proven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experience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laboratory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experimentation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preferably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utilizing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physiological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measurement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tools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69F83D0B" w14:textId="26B96599" w:rsidR="00537CE9" w:rsidRPr="00BF1B22" w:rsidRDefault="00BF1B22" w:rsidP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Language </w:t>
            </w:r>
            <w:proofErr w:type="spellStart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Proficiency</w:t>
            </w:r>
            <w:proofErr w:type="spellEnd"/>
            <w:r w:rsidRPr="00BF1B22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Good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command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written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spoken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English.</w:t>
            </w: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6201DF88" w14:textId="4F577921" w:rsidR="00537CE9" w:rsidRPr="00CD5242" w:rsidRDefault="00374542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X</w:t>
            </w:r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941863"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</w:t>
            </w:r>
            <w:r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molszanowski@swps.edu.pl</w:t>
            </w:r>
            <w:r w:rsidR="00941863"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6FF20F34" w:rsidR="00537CE9" w:rsidRPr="00CD5242" w:rsidRDefault="00374542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X </w:t>
            </w:r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537CE9" w:rsidRPr="00CD5242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2441A15D" w:rsidR="00537CE9" w:rsidRPr="00CD5242" w:rsidRDefault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Date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to be </w:t>
            </w:r>
            <w:proofErr w:type="spellStart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>agreed</w:t>
            </w:r>
            <w:proofErr w:type="spellEnd"/>
            <w:r w:rsidRPr="00BF1B22">
              <w:rPr>
                <w:rFonts w:ascii="Montserrat" w:eastAsia="Calibri" w:hAnsi="Montserrat" w:cs="Calibri"/>
                <w:sz w:val="18"/>
                <w:szCs w:val="18"/>
              </w:rPr>
              <w:t xml:space="preserve"> upon</w:t>
            </w:r>
          </w:p>
        </w:tc>
      </w:tr>
      <w:tr w:rsidR="00537CE9" w:rsidRPr="00CD5242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5327677B" w:rsidR="00537CE9" w:rsidRPr="00CD5242" w:rsidRDefault="00BF1B2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7"/>
      <w:headerReference w:type="first" r:id="rId8"/>
      <w:footerReference w:type="first" r:id="rId9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89B0" w14:textId="77777777" w:rsidR="007E6EA9" w:rsidRDefault="007E6EA9">
      <w:r>
        <w:separator/>
      </w:r>
    </w:p>
  </w:endnote>
  <w:endnote w:type="continuationSeparator" w:id="0">
    <w:p w14:paraId="15A5CD00" w14:textId="77777777" w:rsidR="007E6EA9" w:rsidRDefault="007E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20B0604020202020204"/>
    <w:charset w:val="EE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7DC9" w14:textId="77777777" w:rsidR="007E6EA9" w:rsidRDefault="007E6EA9">
      <w:r>
        <w:separator/>
      </w:r>
    </w:p>
  </w:footnote>
  <w:footnote w:type="continuationSeparator" w:id="0">
    <w:p w14:paraId="523DAC5B" w14:textId="77777777" w:rsidR="007E6EA9" w:rsidRDefault="007E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54526"/>
    <w:rsid w:val="00374542"/>
    <w:rsid w:val="00497C8E"/>
    <w:rsid w:val="005341B7"/>
    <w:rsid w:val="00537CE9"/>
    <w:rsid w:val="006367F5"/>
    <w:rsid w:val="007E6EA9"/>
    <w:rsid w:val="008A1BFC"/>
    <w:rsid w:val="008A6A67"/>
    <w:rsid w:val="00941863"/>
    <w:rsid w:val="00BF1B22"/>
    <w:rsid w:val="00C43E33"/>
    <w:rsid w:val="00CD5242"/>
    <w:rsid w:val="00D14A7C"/>
    <w:rsid w:val="00E24694"/>
    <w:rsid w:val="00F5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MO</cp:lastModifiedBy>
  <cp:revision>4</cp:revision>
  <dcterms:created xsi:type="dcterms:W3CDTF">2026-01-02T21:09:00Z</dcterms:created>
  <dcterms:modified xsi:type="dcterms:W3CDTF">2026-01-06T04:27:00Z</dcterms:modified>
</cp:coreProperties>
</file>